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360" w:lineRule="auto"/>
        <w:jc w:val="center"/>
        <w:rPr>
          <w:rFonts w:ascii="宋体" w:hAnsi="Calibri" w:eastAsia="宋体"/>
          <w:b/>
          <w:spacing w:val="-17"/>
          <w:sz w:val="32"/>
          <w:szCs w:val="21"/>
        </w:rPr>
      </w:pPr>
      <w:r>
        <w:rPr>
          <w:rFonts w:hint="eastAsia" w:ascii="Times New Roman" w:hAnsi="Times New Roman" w:eastAsia="宋体" w:cs="Times New Roman"/>
          <w:b/>
          <w:spacing w:val="-6"/>
          <w:kern w:val="2"/>
          <w:sz w:val="32"/>
          <w:szCs w:val="32"/>
          <w:lang w:eastAsia="zh-CN"/>
        </w:rPr>
        <w:t>贵州双龙航空港经济区水环境综合整治项目——鱼梁河截污沟二期工程、大田坡、坡头上、老街、明涧、党校排水主干线工程</w:t>
      </w:r>
      <w:r>
        <w:rPr>
          <w:rFonts w:hint="eastAsia" w:ascii="宋体" w:hAnsi="Calibri" w:eastAsia="宋体"/>
          <w:b/>
          <w:sz w:val="32"/>
          <w:szCs w:val="32"/>
        </w:rPr>
        <w:t>竣工环</w:t>
      </w:r>
      <w:r>
        <w:rPr>
          <w:rFonts w:hint="eastAsia" w:ascii="宋体" w:hAnsi="Calibri" w:eastAsia="宋体"/>
          <w:b/>
          <w:sz w:val="32"/>
          <w:szCs w:val="21"/>
        </w:rPr>
        <w:t>境保护验收意见</w:t>
      </w:r>
    </w:p>
    <w:p>
      <w:pPr>
        <w:spacing w:after="0" w:line="360" w:lineRule="auto"/>
        <w:ind w:firstLine="560" w:firstLineChars="200"/>
        <w:rPr>
          <w:rFonts w:ascii="仿宋" w:hAnsi="仿宋" w:eastAsia="仿宋" w:cs="仿宋"/>
          <w:sz w:val="28"/>
          <w:szCs w:val="28"/>
        </w:rPr>
      </w:pPr>
      <w:r>
        <w:rPr>
          <w:rFonts w:hint="eastAsia" w:ascii="Times New Roman" w:hAnsi="Times New Roman" w:eastAsia="仿宋" w:cs="Times New Roman"/>
          <w:sz w:val="28"/>
          <w:szCs w:val="28"/>
        </w:rPr>
        <w:t>2022年</w:t>
      </w:r>
      <w:r>
        <w:rPr>
          <w:rFonts w:hint="eastAsia" w:ascii="Times New Roman" w:hAnsi="Times New Roman" w:eastAsia="仿宋" w:cs="Times New Roman"/>
          <w:sz w:val="28"/>
          <w:szCs w:val="28"/>
          <w:lang w:val="en-US" w:eastAsia="zh-CN"/>
        </w:rPr>
        <w:t>6</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23</w:t>
      </w:r>
      <w:r>
        <w:rPr>
          <w:rFonts w:hint="eastAsia" w:ascii="Times New Roman" w:hAnsi="Times New Roman" w:eastAsia="仿宋" w:cs="Times New Roman"/>
          <w:sz w:val="28"/>
          <w:szCs w:val="28"/>
        </w:rPr>
        <w:t>日</w:t>
      </w:r>
      <w:r>
        <w:rPr>
          <w:rFonts w:ascii="Times New Roman" w:hAnsi="Times New Roman" w:eastAsia="仿宋" w:cs="Times New Roman"/>
          <w:sz w:val="28"/>
          <w:szCs w:val="28"/>
        </w:rPr>
        <w:t>，</w:t>
      </w:r>
      <w:r>
        <w:rPr>
          <w:rFonts w:hint="eastAsia" w:ascii="仿宋" w:hAnsi="仿宋" w:eastAsia="仿宋" w:cs="仿宋"/>
          <w:sz w:val="28"/>
          <w:szCs w:val="28"/>
          <w:lang w:eastAsia="zh-CN"/>
        </w:rPr>
        <w:t>贵州建信水务环境产业有限公司</w:t>
      </w:r>
      <w:r>
        <w:rPr>
          <w:rFonts w:hint="eastAsia" w:ascii="仿宋" w:hAnsi="仿宋" w:eastAsia="仿宋" w:cs="仿宋"/>
          <w:sz w:val="28"/>
          <w:szCs w:val="28"/>
        </w:rPr>
        <w:t>根据《</w:t>
      </w:r>
      <w:r>
        <w:rPr>
          <w:rFonts w:hint="eastAsia" w:ascii="仿宋" w:hAnsi="仿宋" w:eastAsia="仿宋" w:cs="仿宋"/>
          <w:sz w:val="28"/>
          <w:szCs w:val="28"/>
          <w:lang w:eastAsia="zh-CN"/>
        </w:rPr>
        <w:t>贵州双龙航空港经济区水环境综合整治项目——鱼梁河截污沟二期工程、大田坡、坡头上、老街、明涧、党校排水主干线工程</w:t>
      </w:r>
      <w:r>
        <w:rPr>
          <w:rFonts w:hint="eastAsia" w:ascii="仿宋" w:hAnsi="仿宋" w:eastAsia="仿宋" w:cs="仿宋"/>
          <w:sz w:val="28"/>
          <w:szCs w:val="28"/>
        </w:rPr>
        <w:t>竣工环境保护验收调查表》并对照《建设项目竣工环境保护验收暂行办法》，依照国家有关法律法规、建设项目竣工环境保护验收技术规范和指南、本项目环境影响报告表和贵州双龙航空港经济区生态建设管理局审批意见等要求对本项目进行验收，提出意见如下：</w:t>
      </w:r>
    </w:p>
    <w:p>
      <w:pPr>
        <w:spacing w:after="0"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一、工程建设基本情况</w:t>
      </w:r>
    </w:p>
    <w:p>
      <w:pPr>
        <w:spacing w:after="0" w:line="360" w:lineRule="auto"/>
        <w:ind w:firstLine="560" w:firstLineChars="200"/>
        <w:rPr>
          <w:rFonts w:ascii="仿宋" w:hAnsi="仿宋" w:eastAsia="仿宋" w:cs="仿宋"/>
          <w:sz w:val="28"/>
          <w:szCs w:val="28"/>
        </w:rPr>
      </w:pPr>
      <w:r>
        <w:rPr>
          <w:rFonts w:ascii="Times New Roman" w:hAnsi="Times New Roman" w:eastAsia="仿宋" w:cs="Times New Roman"/>
          <w:sz w:val="28"/>
          <w:szCs w:val="28"/>
        </w:rPr>
        <w:t>1、建</w:t>
      </w:r>
      <w:r>
        <w:rPr>
          <w:rFonts w:hint="eastAsia" w:ascii="仿宋" w:hAnsi="仿宋" w:eastAsia="仿宋" w:cs="仿宋"/>
          <w:sz w:val="28"/>
          <w:szCs w:val="28"/>
        </w:rPr>
        <w:t>设地点、规模、</w:t>
      </w:r>
      <w:bookmarkStart w:id="0" w:name="_Hlk536396404"/>
      <w:r>
        <w:rPr>
          <w:rFonts w:hint="eastAsia" w:ascii="仿宋" w:hAnsi="仿宋" w:eastAsia="仿宋" w:cs="仿宋"/>
          <w:sz w:val="28"/>
          <w:szCs w:val="28"/>
        </w:rPr>
        <w:t>主要建设内容</w:t>
      </w:r>
      <w:bookmarkEnd w:id="0"/>
    </w:p>
    <w:p>
      <w:pPr>
        <w:spacing w:after="0" w:line="360" w:lineRule="auto"/>
        <w:ind w:firstLine="560" w:firstLineChars="200"/>
        <w:jc w:val="both"/>
        <w:rPr>
          <w:rFonts w:ascii="Times New Roman" w:hAnsi="Times New Roman" w:eastAsia="仿宋" w:cs="Times New Roman"/>
          <w:sz w:val="28"/>
          <w:szCs w:val="28"/>
        </w:rPr>
      </w:pPr>
      <w:r>
        <w:rPr>
          <w:rFonts w:hint="eastAsia" w:ascii="仿宋" w:hAnsi="仿宋" w:eastAsia="仿宋" w:cs="仿宋"/>
          <w:sz w:val="28"/>
          <w:szCs w:val="28"/>
        </w:rPr>
        <w:t>本项目位于</w:t>
      </w:r>
      <w:r>
        <w:rPr>
          <w:rFonts w:hint="eastAsia" w:ascii="仿宋" w:hAnsi="仿宋" w:eastAsia="仿宋" w:cs="仿宋"/>
          <w:sz w:val="28"/>
          <w:szCs w:val="28"/>
          <w:lang w:eastAsia="zh-CN"/>
        </w:rPr>
        <w:t>贵州双龙航空港经济区</w:t>
      </w:r>
      <w:r>
        <w:rPr>
          <w:rFonts w:hint="eastAsia" w:ascii="仿宋" w:hAnsi="仿宋" w:eastAsia="仿宋" w:cs="仿宋"/>
          <w:sz w:val="28"/>
          <w:szCs w:val="28"/>
        </w:rPr>
        <w:t>，属于贵州双龙航空经济区水环境综合整治项目中配套管网的 6 个子项目。位于贵州双龙航空港经济区。本次评价范围内的管网工程包括：党校排水主干线、坡头上排水主干线、大田坡排水主干线、老街排水主干线、明涧排水主干线和鱼梁河截污沟二期工程。</w:t>
      </w:r>
      <w:r>
        <w:rPr>
          <w:rFonts w:hint="eastAsia" w:ascii="仿宋" w:hAnsi="仿宋" w:eastAsia="仿宋" w:cs="仿宋"/>
          <w:sz w:val="28"/>
          <w:szCs w:val="28"/>
          <w:lang w:eastAsia="zh-CN"/>
        </w:rPr>
        <w:t>主要建设内容</w:t>
      </w:r>
      <w:r>
        <w:rPr>
          <w:rFonts w:hint="eastAsia" w:ascii="Times New Roman" w:hAnsi="Times New Roman" w:eastAsia="仿宋" w:cs="Times New Roman"/>
          <w:sz w:val="28"/>
          <w:szCs w:val="28"/>
        </w:rPr>
        <w:t>：鱼梁河截污沟二期（鱼梁河1号线截污管长7403米，其中隧洞总长1578米，断面尺寸BxH=3.0x3.0米，截污管管径DN1000；鱼梁河2号线截污管长2945米，管径DN1000 ~ DN1200；鱼梁河3号线截污管长2678米，其中隧洞总长923米，断面尺寸BxH=3.0x 3. 0米，截污管管径DN1400；鱼梁河截污沟二期延长线全长1080米，断面尺寸BxH=1.4x1.25米，尾水管全长728米，断面为DN1200~1.4x1.25米）、党校排水干线（雨水大沟全长867米、断面尺寸BxH=2.0x 1.8米~3.0x2. 0米；两侧截污管全长164米， 管径DN400）、大田坡排水干线（雨水主沟全长605米，断面尺寸BxH=3.5x 3.0米~4.0x 3.0米；雨水支沟全长390米，断面尺寸BxH=2.0x1.8米；两侧截污管全长1985米，管径DN400）、坡头上排水干线（雨水主沟全长1345米，断面尺寸BxH=2.5x2. 0米</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3.5x2.5米；雨水支沟全长40米，断面尺寸BxH=2.0x1.8米；两侧截污管全长2770米，管径DN400）、老街排水干线（雨水主沟全长1380米，断面尺寸为BxH=4. 0x4. 0米；截污管全长1260m，管径DN600）、明涧排水干线（雨水主沟全长972米，断面尺寸为BxH=3. 0x2. 5米~4.0x3. 0米；截污管全长1340米，管径DN400~ 600）。</w:t>
      </w:r>
    </w:p>
    <w:p>
      <w:pPr>
        <w:spacing w:after="0" w:line="360" w:lineRule="auto"/>
        <w:ind w:firstLine="560" w:firstLineChars="200"/>
        <w:rPr>
          <w:rFonts w:ascii="仿宋" w:hAnsi="仿宋" w:eastAsia="仿宋" w:cs="仿宋"/>
          <w:sz w:val="28"/>
          <w:szCs w:val="28"/>
        </w:rPr>
      </w:pPr>
      <w:r>
        <w:rPr>
          <w:rFonts w:ascii="Times New Roman" w:hAnsi="Times New Roman" w:eastAsia="仿宋" w:cs="Times New Roman"/>
          <w:sz w:val="28"/>
          <w:szCs w:val="28"/>
        </w:rPr>
        <w:t>2、</w:t>
      </w:r>
      <w:r>
        <w:rPr>
          <w:rFonts w:hint="eastAsia" w:ascii="仿宋" w:hAnsi="仿宋" w:eastAsia="仿宋" w:cs="仿宋"/>
          <w:sz w:val="28"/>
          <w:szCs w:val="28"/>
        </w:rPr>
        <w:t>建设过程及环保审批情况</w:t>
      </w:r>
    </w:p>
    <w:p>
      <w:pPr>
        <w:spacing w:after="0"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（1）2015年8月14日，贵州双龙航空港经济区经济发展贸易局以黔双龙经发项 [2015]51号发布了关于《关于贵州双龙航空港经济区水环境综合整治项目的项目建议书的批复》；</w:t>
      </w:r>
    </w:p>
    <w:p>
      <w:pPr>
        <w:spacing w:after="0"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（2）2017年1月20日，贵州双龙航空港经济区生态建设管理局以“黔双龙建设发（2017） 2号”发布了关于对《贵州双龙航空港经济区水环境综合整治项目——鱼梁河截污沟二期工程、大田坡、坡头上、老街、明涧、党校排水主干线工程建设项目环境影响报告表》的审批意见；</w:t>
      </w:r>
    </w:p>
    <w:p>
      <w:pPr>
        <w:spacing w:after="0"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（3）2017年4月该工程开工建设；2020年9月完工。</w:t>
      </w:r>
    </w:p>
    <w:p>
      <w:pPr>
        <w:spacing w:after="0"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w:t>
      </w:r>
      <w:r>
        <w:rPr>
          <w:rFonts w:ascii="Times New Roman" w:hAnsi="Times New Roman" w:eastAsia="仿宋" w:cs="Times New Roman"/>
          <w:sz w:val="28"/>
          <w:szCs w:val="28"/>
        </w:rPr>
        <w:t>投资情况</w:t>
      </w:r>
    </w:p>
    <w:p>
      <w:pPr>
        <w:spacing w:after="0"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项目实际投资48469万元，其中环保投资</w:t>
      </w:r>
      <w:r>
        <w:rPr>
          <w:rFonts w:hint="eastAsia" w:ascii="Times New Roman" w:hAnsi="Times New Roman" w:eastAsia="仿宋" w:cs="Times New Roman"/>
          <w:sz w:val="28"/>
          <w:szCs w:val="28"/>
          <w:lang w:val="en-US" w:eastAsia="zh-CN"/>
        </w:rPr>
        <w:t>323</w:t>
      </w:r>
      <w:r>
        <w:rPr>
          <w:rFonts w:hint="eastAsia" w:ascii="Times New Roman" w:hAnsi="Times New Roman" w:eastAsia="仿宋" w:cs="Times New Roman"/>
          <w:sz w:val="28"/>
          <w:szCs w:val="28"/>
        </w:rPr>
        <w:t>万元。</w:t>
      </w:r>
    </w:p>
    <w:p>
      <w:pPr>
        <w:spacing w:after="0"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w:t>
      </w:r>
      <w:r>
        <w:rPr>
          <w:rFonts w:ascii="Times New Roman" w:hAnsi="Times New Roman" w:eastAsia="仿宋" w:cs="Times New Roman"/>
          <w:sz w:val="28"/>
          <w:szCs w:val="28"/>
        </w:rPr>
        <w:t>验收范围</w:t>
      </w:r>
    </w:p>
    <w:p>
      <w:pPr>
        <w:spacing w:after="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与该建设项目有关的各项环保设施（措施）。</w:t>
      </w:r>
    </w:p>
    <w:p>
      <w:pPr>
        <w:spacing w:after="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二、工程变动情况</w:t>
      </w:r>
    </w:p>
    <w:p>
      <w:pPr>
        <w:spacing w:after="0" w:line="360" w:lineRule="auto"/>
        <w:ind w:firstLine="560" w:firstLineChars="200"/>
        <w:rPr>
          <w:rFonts w:ascii="仿宋" w:hAnsi="仿宋" w:eastAsia="仿宋" w:cs="仿宋"/>
          <w:sz w:val="28"/>
          <w:szCs w:val="28"/>
        </w:rPr>
      </w:pPr>
      <w:r>
        <w:rPr>
          <w:rFonts w:hint="eastAsia" w:ascii="Times New Roman" w:hAnsi="Times New Roman" w:eastAsia="仿宋" w:cs="Times New Roman"/>
          <w:sz w:val="28"/>
          <w:szCs w:val="28"/>
        </w:rPr>
        <w:t>项目建设内容和规模未发生较大变化，本项目无重大变更情形。</w:t>
      </w:r>
    </w:p>
    <w:p>
      <w:pPr>
        <w:spacing w:after="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三、环保设施及措施</w:t>
      </w:r>
    </w:p>
    <w:p>
      <w:pPr>
        <w:spacing w:after="0"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生态保护工程和设施</w:t>
      </w:r>
    </w:p>
    <w:p>
      <w:pPr>
        <w:spacing w:after="0" w:line="360" w:lineRule="auto"/>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施工期尽量减少地面植被破坏，尽量减少工程占地，施工结束后对临时占地及时进行生态植被恢复。</w:t>
      </w:r>
    </w:p>
    <w:p>
      <w:pPr>
        <w:spacing w:after="0" w:line="360" w:lineRule="auto"/>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运营期有利于水生生物、浮游生物、底栖动物及鱼类的生长和繁殖。</w:t>
      </w:r>
    </w:p>
    <w:p>
      <w:pPr>
        <w:spacing w:after="0"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污染防治和处置设施</w:t>
      </w:r>
    </w:p>
    <w:p>
      <w:pPr>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）废水</w:t>
      </w:r>
    </w:p>
    <w:p>
      <w:pPr>
        <w:spacing w:after="0" w:line="360" w:lineRule="auto"/>
        <w:ind w:firstLine="560" w:firstLineChars="200"/>
        <w:rPr>
          <w:rFonts w:hint="eastAsia" w:ascii="Times New Roman" w:hAnsi="仿宋" w:eastAsia="仿宋" w:cs="Times New Roman"/>
          <w:sz w:val="28"/>
          <w:szCs w:val="28"/>
          <w:lang w:eastAsia="zh-CN"/>
        </w:rPr>
      </w:pPr>
      <w:r>
        <w:rPr>
          <w:rFonts w:hint="eastAsia" w:ascii="Times New Roman" w:hAnsi="仿宋" w:eastAsia="仿宋" w:cs="Times New Roman"/>
          <w:sz w:val="28"/>
          <w:szCs w:val="28"/>
        </w:rPr>
        <w:t>施工人员依托周边公共设施进行如厕和洗手。</w:t>
      </w:r>
    </w:p>
    <w:p>
      <w:pPr>
        <w:spacing w:after="0" w:line="360" w:lineRule="auto"/>
        <w:ind w:firstLine="560" w:firstLineChars="200"/>
        <w:rPr>
          <w:rFonts w:hint="eastAsia" w:ascii="Times New Roman" w:hAnsi="仿宋" w:eastAsia="仿宋" w:cs="Times New Roman"/>
          <w:sz w:val="28"/>
          <w:szCs w:val="28"/>
          <w:lang w:eastAsia="zh-CN"/>
        </w:rPr>
      </w:pPr>
      <w:r>
        <w:rPr>
          <w:rFonts w:hint="eastAsia" w:ascii="Times New Roman" w:hAnsi="仿宋" w:eastAsia="仿宋" w:cs="Times New Roman"/>
          <w:sz w:val="28"/>
          <w:szCs w:val="28"/>
        </w:rPr>
        <w:t>施工机械清洗废水设沉淀池处理后</w:t>
      </w:r>
      <w:r>
        <w:rPr>
          <w:rFonts w:hint="eastAsia" w:ascii="Times New Roman" w:hAnsi="仿宋" w:eastAsia="仿宋" w:cs="Times New Roman"/>
          <w:sz w:val="28"/>
          <w:szCs w:val="28"/>
          <w:lang w:eastAsia="zh-CN"/>
        </w:rPr>
        <w:t>全部回用于施工，不外排。</w:t>
      </w:r>
    </w:p>
    <w:p>
      <w:pPr>
        <w:spacing w:after="0" w:line="360" w:lineRule="auto"/>
        <w:ind w:firstLine="560" w:firstLineChars="200"/>
        <w:rPr>
          <w:rFonts w:hint="eastAsia" w:ascii="Times New Roman" w:hAnsi="仿宋" w:eastAsia="仿宋" w:cs="Times New Roman"/>
          <w:sz w:val="28"/>
          <w:szCs w:val="28"/>
          <w:lang w:eastAsia="zh-CN"/>
        </w:rPr>
      </w:pPr>
      <w:r>
        <w:rPr>
          <w:rFonts w:hint="eastAsia" w:ascii="Times New Roman" w:hAnsi="仿宋" w:eastAsia="仿宋" w:cs="Times New Roman"/>
          <w:sz w:val="28"/>
          <w:szCs w:val="28"/>
          <w:lang w:eastAsia="zh-CN"/>
        </w:rPr>
        <w:t>施工期施工场地内设置固定的洗车地点，禁止在随意地点洗车，其洗车废水经收集沉淀后循环使用或用于洒水防尘，不外排。</w:t>
      </w:r>
    </w:p>
    <w:p>
      <w:pPr>
        <w:spacing w:after="0"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（2）废气</w:t>
      </w:r>
    </w:p>
    <w:p>
      <w:pPr>
        <w:spacing w:after="0"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原料运输路线定时洒水降尘，及时清除尘土；在大风天气洒水降尘，按照批准的路线和时间进行物料、渣土、垃圾的运输；加强机械维护及施工车辆的管理，使用优质燃料；尽量避开交通高峰期。</w:t>
      </w:r>
    </w:p>
    <w:p>
      <w:pPr>
        <w:spacing w:after="0" w:line="360" w:lineRule="auto"/>
        <w:ind w:firstLine="560" w:firstLineChars="200"/>
        <w:rPr>
          <w:rFonts w:ascii="仿宋" w:hAnsi="仿宋" w:eastAsia="仿宋" w:cs="仿宋"/>
          <w:sz w:val="28"/>
          <w:szCs w:val="28"/>
        </w:rPr>
      </w:pPr>
      <w:r>
        <w:rPr>
          <w:rFonts w:hint="eastAsia" w:ascii="Times New Roman" w:hAnsi="Times New Roman" w:eastAsia="仿宋" w:cs="Times New Roman"/>
          <w:sz w:val="28"/>
          <w:szCs w:val="28"/>
        </w:rPr>
        <w:t>（3）</w:t>
      </w:r>
      <w:r>
        <w:rPr>
          <w:rFonts w:hint="eastAsia" w:ascii="仿宋" w:hAnsi="仿宋" w:eastAsia="仿宋" w:cs="仿宋"/>
          <w:sz w:val="28"/>
          <w:szCs w:val="28"/>
        </w:rPr>
        <w:t>噪声</w:t>
      </w:r>
    </w:p>
    <w:p>
      <w:pPr>
        <w:spacing w:after="0"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施工机械设备</w:t>
      </w:r>
      <w:r>
        <w:rPr>
          <w:rFonts w:hint="eastAsia" w:ascii="Times New Roman" w:hAnsi="Times New Roman" w:eastAsia="仿宋" w:cs="Times New Roman"/>
          <w:sz w:val="28"/>
          <w:szCs w:val="28"/>
          <w:lang w:val="en-US" w:eastAsia="zh-CN"/>
        </w:rPr>
        <w:t>采用</w:t>
      </w:r>
      <w:r>
        <w:rPr>
          <w:rFonts w:hint="eastAsia" w:ascii="Times New Roman" w:hAnsi="Times New Roman" w:eastAsia="仿宋" w:cs="Times New Roman"/>
          <w:sz w:val="28"/>
          <w:szCs w:val="28"/>
        </w:rPr>
        <w:t>低噪声机械设备。</w:t>
      </w:r>
    </w:p>
    <w:p>
      <w:pPr>
        <w:spacing w:after="0"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合理安排施工时间。</w:t>
      </w:r>
    </w:p>
    <w:p>
      <w:pPr>
        <w:spacing w:after="0"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采用声屏障措施。</w:t>
      </w:r>
    </w:p>
    <w:p>
      <w:pPr>
        <w:spacing w:after="0" w:line="360" w:lineRule="auto"/>
        <w:ind w:firstLine="560" w:firstLineChars="200"/>
        <w:rPr>
          <w:rFonts w:ascii="仿宋" w:hAnsi="仿宋" w:eastAsia="仿宋" w:cs="仿宋"/>
          <w:sz w:val="28"/>
          <w:szCs w:val="28"/>
        </w:rPr>
      </w:pPr>
      <w:r>
        <w:rPr>
          <w:rFonts w:hint="eastAsia" w:ascii="Times New Roman" w:hAnsi="Times New Roman" w:eastAsia="仿宋" w:cs="Times New Roman"/>
          <w:sz w:val="28"/>
          <w:szCs w:val="28"/>
        </w:rPr>
        <w:t>（4）</w:t>
      </w:r>
      <w:r>
        <w:rPr>
          <w:rFonts w:ascii="Times New Roman" w:hAnsi="Times New Roman" w:eastAsia="仿宋" w:cs="Times New Roman"/>
          <w:sz w:val="28"/>
          <w:szCs w:val="28"/>
        </w:rPr>
        <w:t>固</w:t>
      </w:r>
      <w:r>
        <w:rPr>
          <w:rFonts w:hint="eastAsia" w:ascii="仿宋" w:hAnsi="仿宋" w:eastAsia="仿宋" w:cs="仿宋"/>
          <w:sz w:val="28"/>
          <w:szCs w:val="28"/>
        </w:rPr>
        <w:t>体废物</w:t>
      </w:r>
    </w:p>
    <w:p>
      <w:pPr>
        <w:spacing w:after="0" w:line="360" w:lineRule="auto"/>
        <w:ind w:firstLine="560" w:firstLineChars="200"/>
        <w:outlineLvl w:val="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废弃土石安全运往送政府指定的合法弃土场</w:t>
      </w:r>
      <w:r>
        <w:rPr>
          <w:rFonts w:hint="eastAsia" w:ascii="Times New Roman" w:hAnsi="Times New Roman" w:eastAsia="仿宋" w:cs="Times New Roman"/>
          <w:sz w:val="28"/>
          <w:szCs w:val="28"/>
          <w:lang w:eastAsia="zh-CN"/>
        </w:rPr>
        <w:t>。</w:t>
      </w:r>
    </w:p>
    <w:p>
      <w:pPr>
        <w:spacing w:after="0"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施工垃圾</w:t>
      </w:r>
      <w:r>
        <w:rPr>
          <w:rFonts w:hint="eastAsia" w:ascii="Times New Roman" w:hAnsi="Times New Roman" w:eastAsia="仿宋" w:cs="Times New Roman"/>
          <w:sz w:val="28"/>
          <w:szCs w:val="28"/>
          <w:lang w:val="en-US" w:eastAsia="zh-CN"/>
        </w:rPr>
        <w:t>由</w:t>
      </w:r>
      <w:r>
        <w:rPr>
          <w:rFonts w:hint="eastAsia" w:ascii="Times New Roman" w:hAnsi="Times New Roman" w:eastAsia="仿宋" w:cs="Times New Roman"/>
          <w:sz w:val="28"/>
          <w:szCs w:val="28"/>
        </w:rPr>
        <w:t>施工单位及时清运至政府部门指定建筑垃圾处理场处理</w:t>
      </w:r>
      <w:r>
        <w:rPr>
          <w:rFonts w:hint="eastAsia" w:ascii="Times New Roman" w:hAnsi="Times New Roman" w:eastAsia="仿宋" w:cs="Times New Roman"/>
          <w:sz w:val="28"/>
          <w:szCs w:val="28"/>
          <w:lang w:eastAsia="zh-CN"/>
        </w:rPr>
        <w:t>。</w:t>
      </w:r>
    </w:p>
    <w:p>
      <w:pPr>
        <w:spacing w:after="0"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河道及河道两侧的垃圾集中收集后由专用环卫运输车辆及时清运至垃圾填埋场</w:t>
      </w:r>
      <w:r>
        <w:rPr>
          <w:rFonts w:hint="eastAsia" w:ascii="Times New Roman" w:hAnsi="Times New Roman" w:eastAsia="仿宋" w:cs="Times New Roman"/>
          <w:sz w:val="28"/>
          <w:szCs w:val="28"/>
          <w:lang w:eastAsia="zh-CN"/>
        </w:rPr>
        <w:t>。</w:t>
      </w:r>
    </w:p>
    <w:p>
      <w:pPr>
        <w:spacing w:after="0" w:line="360" w:lineRule="auto"/>
        <w:ind w:firstLine="560" w:firstLineChars="200"/>
        <w:outlineLvl w:val="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施工人员生活垃圾利用现有市政设施进行处理</w:t>
      </w:r>
      <w:r>
        <w:rPr>
          <w:rFonts w:hint="eastAsia" w:ascii="Times New Roman" w:hAnsi="Times New Roman" w:eastAsia="仿宋" w:cs="Times New Roman"/>
          <w:sz w:val="28"/>
          <w:szCs w:val="28"/>
          <w:lang w:eastAsia="zh-CN"/>
        </w:rPr>
        <w:t>。</w:t>
      </w:r>
    </w:p>
    <w:p>
      <w:pPr>
        <w:spacing w:after="0" w:line="360" w:lineRule="auto"/>
        <w:ind w:firstLine="560" w:firstLineChars="200"/>
        <w:outlineLvl w:val="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废油等</w:t>
      </w:r>
      <w:r>
        <w:rPr>
          <w:rFonts w:hint="eastAsia" w:ascii="Times New Roman" w:hAnsi="Times New Roman" w:eastAsia="仿宋" w:cs="Times New Roman"/>
          <w:sz w:val="28"/>
          <w:szCs w:val="28"/>
          <w:lang w:val="en-US" w:eastAsia="zh-CN"/>
        </w:rPr>
        <w:t>危险废物</w:t>
      </w:r>
      <w:r>
        <w:rPr>
          <w:rFonts w:hint="eastAsia" w:ascii="Times New Roman" w:hAnsi="Times New Roman" w:eastAsia="仿宋" w:cs="Times New Roman"/>
          <w:sz w:val="28"/>
          <w:szCs w:val="28"/>
          <w:lang w:eastAsia="zh-CN"/>
        </w:rPr>
        <w:t>统一收集交有资质单位处置。</w:t>
      </w:r>
    </w:p>
    <w:p>
      <w:pPr>
        <w:spacing w:after="0" w:line="360" w:lineRule="auto"/>
        <w:ind w:firstLine="562" w:firstLineChars="200"/>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四、</w:t>
      </w:r>
      <w:r>
        <w:rPr>
          <w:rFonts w:hint="eastAsia" w:ascii="Times New Roman" w:hAnsi="Times New Roman" w:eastAsia="仿宋" w:cs="Times New Roman"/>
          <w:b/>
          <w:bCs/>
          <w:sz w:val="28"/>
          <w:szCs w:val="28"/>
        </w:rPr>
        <w:t>环境保护设施调试运行效果</w:t>
      </w:r>
    </w:p>
    <w:p>
      <w:pPr>
        <w:spacing w:after="0" w:line="360" w:lineRule="auto"/>
        <w:ind w:firstLine="560" w:firstLineChars="200"/>
        <w:outlineLvl w:val="0"/>
        <w:rPr>
          <w:rFonts w:ascii="Times New Roman" w:hAnsi="Times New Roman" w:eastAsia="仿宋" w:cs="Times New Roman"/>
          <w:b/>
          <w:bCs/>
          <w:sz w:val="28"/>
          <w:szCs w:val="28"/>
        </w:rPr>
      </w:pPr>
      <w:r>
        <w:rPr>
          <w:rFonts w:hint="eastAsia" w:ascii="Times New Roman" w:hAnsi="Times New Roman" w:eastAsia="仿宋" w:cs="Times New Roman"/>
          <w:sz w:val="28"/>
          <w:szCs w:val="28"/>
        </w:rPr>
        <w:t>1、工况记录</w:t>
      </w:r>
    </w:p>
    <w:p>
      <w:pPr>
        <w:spacing w:after="0"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本项目验收调查期间，项目正常运行，环保设施运行正常，基本满足验收调查要求。</w:t>
      </w:r>
    </w:p>
    <w:p>
      <w:pPr>
        <w:spacing w:after="0" w:line="360" w:lineRule="auto"/>
        <w:ind w:firstLine="560" w:firstLineChars="200"/>
        <w:outlineLvl w:val="0"/>
        <w:rPr>
          <w:rFonts w:ascii="Times New Roman" w:hAnsi="Times New Roman" w:eastAsia="仿宋" w:cs="Times New Roman"/>
          <w:sz w:val="28"/>
          <w:szCs w:val="28"/>
        </w:rPr>
      </w:pPr>
      <w:r>
        <w:rPr>
          <w:rFonts w:hint="eastAsia" w:ascii="Times New Roman" w:hAnsi="Times New Roman" w:eastAsia="仿宋" w:cs="Times New Roman"/>
          <w:sz w:val="28"/>
          <w:szCs w:val="28"/>
        </w:rPr>
        <w:t>2、生态保护工程和设施实施运行效果</w:t>
      </w:r>
    </w:p>
    <w:p>
      <w:pPr>
        <w:spacing w:after="0" w:line="360" w:lineRule="auto"/>
        <w:ind w:firstLine="560" w:firstLineChars="200"/>
        <w:outlineLvl w:val="0"/>
        <w:rPr>
          <w:rFonts w:ascii="Times New Roman" w:hAnsi="Times New Roman" w:eastAsia="仿宋" w:cs="Times New Roman"/>
          <w:sz w:val="28"/>
          <w:szCs w:val="28"/>
        </w:rPr>
      </w:pPr>
      <w:r>
        <w:rPr>
          <w:rFonts w:hint="eastAsia" w:ascii="Times New Roman" w:hAnsi="Times New Roman" w:eastAsia="仿宋" w:cs="Times New Roman"/>
          <w:sz w:val="28"/>
          <w:szCs w:val="28"/>
        </w:rPr>
        <w:t>根据《</w:t>
      </w:r>
      <w:r>
        <w:rPr>
          <w:rFonts w:hint="eastAsia" w:ascii="Times New Roman" w:hAnsi="Times New Roman" w:eastAsia="仿宋" w:cs="Times New Roman"/>
          <w:sz w:val="28"/>
          <w:szCs w:val="28"/>
          <w:lang w:eastAsia="zh-CN"/>
        </w:rPr>
        <w:t>贵州双龙航空港经济区水环境综合整治项目——鱼梁河截污沟二期工程、大田坡、坡头上、老街、明涧、党校排水主干线工程</w:t>
      </w:r>
      <w:r>
        <w:rPr>
          <w:rFonts w:hint="eastAsia" w:ascii="Times New Roman" w:hAnsi="Times New Roman" w:eastAsia="仿宋" w:cs="Times New Roman"/>
          <w:sz w:val="28"/>
          <w:szCs w:val="28"/>
        </w:rPr>
        <w:t>竣工环境保护验收调查表》：</w:t>
      </w:r>
    </w:p>
    <w:p>
      <w:pPr>
        <w:spacing w:after="0"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项目工程范围不涉及环境敏感区，项目建设对沿线植被影响较小。</w:t>
      </w:r>
    </w:p>
    <w:p>
      <w:pPr>
        <w:spacing w:after="0"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项目区域内没有保护植物，动物主要有啮齿类鼠科的种类和部分鸟类（麻雀等），这些动物移动能力较强，有些仅在该范围内捕食。</w:t>
      </w:r>
    </w:p>
    <w:p>
      <w:pPr>
        <w:spacing w:after="0"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项目施工期间</w:t>
      </w:r>
      <w:r>
        <w:rPr>
          <w:rFonts w:hint="eastAsia" w:ascii="Times New Roman" w:hAnsi="Times New Roman" w:eastAsia="仿宋" w:cs="Times New Roman"/>
          <w:sz w:val="28"/>
          <w:szCs w:val="28"/>
          <w:lang w:val="en-US" w:eastAsia="zh-CN"/>
        </w:rPr>
        <w:t>采取了</w:t>
      </w:r>
      <w:r>
        <w:rPr>
          <w:rFonts w:hint="eastAsia" w:ascii="Times New Roman" w:hAnsi="Times New Roman" w:eastAsia="仿宋" w:cs="Times New Roman"/>
          <w:sz w:val="28"/>
          <w:szCs w:val="28"/>
        </w:rPr>
        <w:t>生态</w:t>
      </w:r>
      <w:r>
        <w:rPr>
          <w:rFonts w:hint="eastAsia" w:ascii="Times New Roman" w:hAnsi="Times New Roman" w:eastAsia="仿宋" w:cs="Times New Roman"/>
          <w:sz w:val="28"/>
          <w:szCs w:val="28"/>
          <w:lang w:val="en-US" w:eastAsia="zh-CN"/>
        </w:rPr>
        <w:t>保护措施，</w:t>
      </w:r>
      <w:r>
        <w:rPr>
          <w:rFonts w:hint="eastAsia" w:ascii="Times New Roman" w:hAnsi="Times New Roman" w:eastAsia="仿宋" w:cs="Times New Roman"/>
          <w:sz w:val="28"/>
          <w:szCs w:val="28"/>
        </w:rPr>
        <w:t>对周围生态环境</w:t>
      </w:r>
      <w:r>
        <w:rPr>
          <w:rFonts w:hint="eastAsia" w:ascii="Times New Roman" w:hAnsi="Times New Roman" w:eastAsia="仿宋" w:cs="Times New Roman"/>
          <w:sz w:val="28"/>
          <w:szCs w:val="28"/>
          <w:lang w:val="en-US" w:eastAsia="zh-CN"/>
        </w:rPr>
        <w:t>未</w:t>
      </w:r>
      <w:r>
        <w:rPr>
          <w:rFonts w:hint="eastAsia" w:ascii="Times New Roman" w:hAnsi="Times New Roman" w:eastAsia="仿宋" w:cs="Times New Roman"/>
          <w:sz w:val="28"/>
          <w:szCs w:val="28"/>
        </w:rPr>
        <w:t>产生明显影响。</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outlineLvl w:val="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项目实施后，解决了城区污水处理效果低下、河流水质恶劣等环境问题，由于河水水质的净化，对下游水生生物环境及两岸生态环境产生有利影响。</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五、建设项目对环境的影响</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ascii="Times New Roman" w:hAnsi="Times New Roman" w:eastAsia="仿宋" w:cs="Times New Roman"/>
          <w:sz w:val="28"/>
          <w:szCs w:val="28"/>
        </w:rPr>
      </w:pPr>
      <w:r>
        <w:rPr>
          <w:rFonts w:hint="eastAsia" w:ascii="仿宋" w:hAnsi="仿宋" w:eastAsia="仿宋" w:cs="仿宋"/>
          <w:sz w:val="28"/>
          <w:szCs w:val="28"/>
        </w:rPr>
        <w:t>根据</w:t>
      </w:r>
      <w:r>
        <w:rPr>
          <w:rFonts w:hint="eastAsia" w:ascii="仿宋" w:hAnsi="仿宋" w:eastAsia="仿宋" w:cs="仿宋"/>
          <w:sz w:val="28"/>
          <w:szCs w:val="28"/>
          <w:lang w:eastAsia="zh-CN"/>
        </w:rPr>
        <w:t>贵州天环环境监测有限公司</w:t>
      </w:r>
      <w:r>
        <w:rPr>
          <w:rFonts w:hint="eastAsia" w:ascii="Times New Roman" w:hAnsi="Times New Roman" w:eastAsia="仿宋" w:cs="Times New Roman"/>
          <w:sz w:val="28"/>
          <w:szCs w:val="28"/>
        </w:rPr>
        <w:t>2022年04月05日~2022年04月06日对贵州双龙航空港经济区水环境综合整治项目进行环境保护验收监测</w:t>
      </w:r>
      <w:r>
        <w:rPr>
          <w:rFonts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各水质监测断面可满足《地表水环境质量标准》（GB3838-1996）Ⅲ类水体水质要求。</w:t>
      </w:r>
      <w:r>
        <w:rPr>
          <w:rFonts w:hint="eastAsia" w:ascii="Times New Roman" w:hAnsi="Times New Roman" w:eastAsia="仿宋" w:cs="Times New Roman"/>
          <w:sz w:val="28"/>
          <w:szCs w:val="28"/>
        </w:rPr>
        <w:t>。</w:t>
      </w:r>
    </w:p>
    <w:p>
      <w:pPr>
        <w:spacing w:after="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该项目施工期</w:t>
      </w:r>
      <w:r>
        <w:rPr>
          <w:rFonts w:hint="eastAsia" w:ascii="仿宋" w:hAnsi="仿宋" w:eastAsia="仿宋" w:cs="仿宋"/>
          <w:sz w:val="28"/>
          <w:szCs w:val="28"/>
          <w:lang w:val="en-US" w:eastAsia="zh-CN"/>
        </w:rPr>
        <w:t>废水、</w:t>
      </w:r>
      <w:r>
        <w:rPr>
          <w:rFonts w:hint="eastAsia" w:ascii="仿宋" w:hAnsi="仿宋" w:eastAsia="仿宋" w:cs="仿宋"/>
          <w:sz w:val="28"/>
          <w:szCs w:val="28"/>
        </w:rPr>
        <w:t>废气、噪声</w:t>
      </w:r>
      <w:r>
        <w:rPr>
          <w:rFonts w:hint="eastAsia" w:ascii="仿宋" w:hAnsi="仿宋" w:eastAsia="仿宋" w:cs="仿宋"/>
          <w:sz w:val="28"/>
          <w:szCs w:val="28"/>
          <w:lang w:eastAsia="zh-CN"/>
        </w:rPr>
        <w:t>、</w:t>
      </w:r>
      <w:r>
        <w:rPr>
          <w:rFonts w:hint="eastAsia" w:ascii="仿宋" w:hAnsi="仿宋" w:eastAsia="仿宋" w:cs="仿宋"/>
          <w:sz w:val="28"/>
          <w:szCs w:val="28"/>
        </w:rPr>
        <w:t>固体废物处理符合相关要求，项目采取的生态保护措施基本有效，对环境影响</w:t>
      </w:r>
      <w:r>
        <w:rPr>
          <w:rFonts w:hint="eastAsia" w:ascii="仿宋" w:hAnsi="仿宋" w:eastAsia="仿宋" w:cs="仿宋"/>
          <w:sz w:val="28"/>
          <w:szCs w:val="28"/>
          <w:lang w:eastAsia="zh-CN"/>
        </w:rPr>
        <w:t>较小</w:t>
      </w:r>
      <w:r>
        <w:rPr>
          <w:rFonts w:hint="eastAsia" w:ascii="仿宋" w:hAnsi="仿宋" w:eastAsia="仿宋" w:cs="仿宋"/>
          <w:sz w:val="28"/>
          <w:szCs w:val="28"/>
        </w:rPr>
        <w:t>。</w:t>
      </w:r>
      <w:r>
        <w:rPr>
          <w:rFonts w:hint="eastAsia" w:ascii="仿宋" w:hAnsi="仿宋" w:eastAsia="仿宋" w:cs="仿宋"/>
          <w:sz w:val="28"/>
          <w:szCs w:val="28"/>
          <w:lang w:eastAsia="zh-CN"/>
        </w:rPr>
        <w:t>截污沟及排水干线建设</w:t>
      </w:r>
      <w:r>
        <w:rPr>
          <w:rFonts w:hint="eastAsia" w:ascii="仿宋" w:hAnsi="仿宋" w:eastAsia="仿宋" w:cs="仿宋"/>
          <w:sz w:val="28"/>
          <w:szCs w:val="28"/>
        </w:rPr>
        <w:t>完成后</w:t>
      </w:r>
      <w:r>
        <w:rPr>
          <w:rFonts w:hint="eastAsia" w:ascii="仿宋" w:hAnsi="仿宋" w:eastAsia="仿宋" w:cs="仿宋"/>
          <w:sz w:val="28"/>
          <w:szCs w:val="28"/>
          <w:lang w:val="en-US" w:eastAsia="zh-CN"/>
        </w:rPr>
        <w:t>对水体状况起改善作用。</w:t>
      </w:r>
    </w:p>
    <w:p>
      <w:pPr>
        <w:spacing w:after="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六、验收结论</w:t>
      </w:r>
    </w:p>
    <w:p>
      <w:pPr>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项目环保审批手续齐全，总体满足环评及批复要求，基本符合竣工环保验收条件，项目自主验收合格。</w:t>
      </w:r>
    </w:p>
    <w:p>
      <w:pPr>
        <w:spacing w:after="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七、后续要求</w:t>
      </w:r>
    </w:p>
    <w:p>
      <w:pPr>
        <w:pStyle w:val="15"/>
        <w:spacing w:line="360" w:lineRule="auto"/>
        <w:ind w:firstLine="560" w:firstLineChars="200"/>
        <w:rPr>
          <w:sz w:val="28"/>
          <w:szCs w:val="28"/>
        </w:rPr>
      </w:pPr>
      <w:r>
        <w:rPr>
          <w:rFonts w:hint="eastAsia" w:ascii="Times New Roman" w:hAnsi="Times New Roman" w:cs="Times New Roman"/>
          <w:color w:val="auto"/>
          <w:sz w:val="28"/>
          <w:szCs w:val="28"/>
        </w:rPr>
        <w:t>1、按建设项目竣工环境保护验收技术规范和指南相关要求完善验收调查</w:t>
      </w:r>
      <w:r>
        <w:rPr>
          <w:rFonts w:hint="eastAsia" w:ascii="Times New Roman" w:hAnsi="Times New Roman" w:cs="Times New Roman"/>
          <w:color w:val="auto"/>
          <w:sz w:val="28"/>
          <w:szCs w:val="28"/>
          <w:lang w:val="en-US" w:eastAsia="zh-CN"/>
        </w:rPr>
        <w:t>表</w:t>
      </w:r>
      <w:r>
        <w:rPr>
          <w:rFonts w:hint="eastAsia" w:ascii="Times New Roman" w:hAnsi="Times New Roman" w:cs="Times New Roman"/>
          <w:color w:val="auto"/>
          <w:sz w:val="28"/>
          <w:szCs w:val="28"/>
        </w:rPr>
        <w:t>，规范文本。</w:t>
      </w:r>
    </w:p>
    <w:p>
      <w:pPr>
        <w:pStyle w:val="15"/>
        <w:spacing w:line="360" w:lineRule="auto"/>
        <w:ind w:firstLine="560" w:firstLineChars="200"/>
        <w:rPr>
          <w:rFonts w:ascii="Times New Roman" w:hAnsi="Times New Roman" w:cs="Times New Roman"/>
          <w:sz w:val="28"/>
          <w:szCs w:val="28"/>
        </w:rPr>
      </w:pPr>
      <w:r>
        <w:rPr>
          <w:rFonts w:hint="eastAsia" w:ascii="Times New Roman" w:hAnsi="Times New Roman" w:cs="Times New Roman"/>
          <w:color w:val="auto"/>
          <w:sz w:val="28"/>
          <w:szCs w:val="28"/>
        </w:rPr>
        <w:t>2</w:t>
      </w:r>
      <w:r>
        <w:rPr>
          <w:rFonts w:ascii="Times New Roman" w:hAnsi="Times New Roman" w:cs="Times New Roman"/>
          <w:color w:val="auto"/>
          <w:sz w:val="28"/>
          <w:szCs w:val="28"/>
        </w:rPr>
        <w:t>、</w:t>
      </w:r>
      <w:r>
        <w:rPr>
          <w:rFonts w:ascii="Times New Roman" w:hAnsi="Times New Roman" w:cs="Times New Roman"/>
          <w:sz w:val="28"/>
          <w:szCs w:val="28"/>
        </w:rPr>
        <w:t>加强项目环保管理工作。</w:t>
      </w:r>
    </w:p>
    <w:p>
      <w:pPr>
        <w:pStyle w:val="15"/>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rPr>
        <w:t>、应完善运行期的环境管理制度，制定管理制度，根据制度进行环境管理，确保水、固体废物符合环保要求。</w:t>
      </w:r>
    </w:p>
    <w:p>
      <w:pPr>
        <w:pStyle w:val="15"/>
        <w:spacing w:line="360" w:lineRule="auto"/>
        <w:ind w:firstLine="562" w:firstLineChars="200"/>
        <w:rPr>
          <w:b/>
          <w:sz w:val="28"/>
          <w:szCs w:val="28"/>
        </w:rPr>
      </w:pPr>
      <w:r>
        <w:rPr>
          <w:rFonts w:hint="eastAsia"/>
          <w:b/>
          <w:sz w:val="28"/>
          <w:szCs w:val="28"/>
        </w:rPr>
        <w:t>八、验收人员信息</w:t>
      </w:r>
    </w:p>
    <w:p>
      <w:pPr>
        <w:pStyle w:val="15"/>
        <w:spacing w:line="360" w:lineRule="auto"/>
        <w:ind w:firstLine="560" w:firstLineChars="200"/>
        <w:rPr>
          <w:rFonts w:hint="eastAsia"/>
          <w:sz w:val="28"/>
          <w:szCs w:val="28"/>
        </w:rPr>
      </w:pPr>
      <w:r>
        <w:rPr>
          <w:rFonts w:hint="eastAsia"/>
          <w:sz w:val="28"/>
          <w:szCs w:val="28"/>
        </w:rPr>
        <w:t>参加验收的单位及人员信息见验收签到表。</w:t>
      </w:r>
    </w:p>
    <w:p>
      <w:pPr>
        <w:pStyle w:val="15"/>
        <w:spacing w:line="360" w:lineRule="auto"/>
        <w:ind w:firstLine="560" w:firstLineChars="200"/>
        <w:rPr>
          <w:rFonts w:hint="eastAsia"/>
          <w:sz w:val="28"/>
          <w:szCs w:val="28"/>
        </w:rPr>
      </w:pPr>
    </w:p>
    <w:p>
      <w:pPr>
        <w:pStyle w:val="15"/>
        <w:spacing w:line="360" w:lineRule="auto"/>
        <w:ind w:firstLine="560" w:firstLineChars="200"/>
        <w:rPr>
          <w:rFonts w:hint="eastAsia"/>
          <w:sz w:val="28"/>
          <w:szCs w:val="28"/>
        </w:rPr>
      </w:pPr>
    </w:p>
    <w:p>
      <w:pPr>
        <w:pStyle w:val="15"/>
        <w:spacing w:line="360" w:lineRule="auto"/>
        <w:ind w:firstLine="3640" w:firstLineChars="1300"/>
        <w:rPr>
          <w:rFonts w:hint="eastAsia"/>
          <w:sz w:val="28"/>
          <w:szCs w:val="28"/>
          <w:lang w:eastAsia="zh-CN"/>
        </w:rPr>
      </w:pPr>
    </w:p>
    <w:p>
      <w:pPr>
        <w:pStyle w:val="15"/>
        <w:spacing w:line="360" w:lineRule="auto"/>
        <w:ind w:firstLine="560" w:firstLineChars="200"/>
        <w:rPr>
          <w:rFonts w:hint="eastAsia"/>
          <w:sz w:val="28"/>
          <w:szCs w:val="28"/>
        </w:rPr>
      </w:pPr>
    </w:p>
    <w:p>
      <w:pPr>
        <w:pStyle w:val="15"/>
        <w:spacing w:line="360" w:lineRule="auto"/>
        <w:ind w:firstLine="560" w:firstLineChars="200"/>
        <w:rPr>
          <w:rFonts w:hint="eastAsia"/>
          <w:sz w:val="28"/>
          <w:szCs w:val="28"/>
        </w:rPr>
      </w:pPr>
    </w:p>
    <w:p>
      <w:pPr>
        <w:pStyle w:val="15"/>
        <w:spacing w:line="360" w:lineRule="auto"/>
        <w:ind w:firstLine="560" w:firstLineChars="200"/>
        <w:rPr>
          <w:rFonts w:hint="eastAsia"/>
          <w:sz w:val="28"/>
          <w:szCs w:val="28"/>
        </w:rPr>
      </w:pPr>
    </w:p>
    <w:p>
      <w:pPr>
        <w:pStyle w:val="15"/>
        <w:spacing w:line="360" w:lineRule="auto"/>
        <w:ind w:firstLine="560" w:firstLineChars="200"/>
        <w:rPr>
          <w:rFonts w:hint="eastAsia"/>
          <w:sz w:val="28"/>
          <w:szCs w:val="28"/>
        </w:rPr>
      </w:pPr>
    </w:p>
    <w:p>
      <w:pPr>
        <w:pStyle w:val="15"/>
        <w:spacing w:line="360" w:lineRule="auto"/>
        <w:ind w:firstLine="560" w:firstLineChars="200"/>
        <w:rPr>
          <w:rFonts w:hint="eastAsia"/>
          <w:sz w:val="28"/>
          <w:szCs w:val="28"/>
        </w:rPr>
      </w:pPr>
    </w:p>
    <w:p>
      <w:pPr>
        <w:pStyle w:val="15"/>
        <w:spacing w:line="360" w:lineRule="auto"/>
        <w:jc w:val="center"/>
        <w:rPr>
          <w:rFonts w:hint="eastAsia" w:eastAsia="仿宋_GB2312"/>
          <w:sz w:val="28"/>
          <w:szCs w:val="28"/>
          <w:lang w:eastAsia="zh-CN"/>
        </w:rPr>
      </w:pPr>
      <w:r>
        <w:drawing>
          <wp:inline distT="0" distB="0" distL="114300" distR="114300">
            <wp:extent cx="5629275" cy="755840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29275" cy="7558405"/>
                    </a:xfrm>
                    <a:prstGeom prst="rect">
                      <a:avLst/>
                    </a:prstGeom>
                    <a:noFill/>
                    <a:ln>
                      <a:noFill/>
                    </a:ln>
                  </pic:spPr>
                </pic:pic>
              </a:graphicData>
            </a:graphic>
          </wp:inline>
        </w:drawing>
      </w:r>
      <w:bookmarkStart w:id="1" w:name="_GoBack"/>
      <w:bookmarkEnd w:id="1"/>
    </w:p>
    <w:p>
      <w:pPr>
        <w:spacing w:after="0" w:line="360" w:lineRule="auto"/>
        <w:jc w:val="center"/>
      </w:pP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eastAsia="zh-CN"/>
        </w:rPr>
        <w:t>日期：</w:t>
      </w:r>
      <w:r>
        <w:rPr>
          <w:rFonts w:hint="eastAsia" w:ascii="Times New Roman" w:hAnsi="Times New Roman" w:eastAsia="仿宋" w:cs="Times New Roman"/>
          <w:sz w:val="28"/>
          <w:szCs w:val="28"/>
        </w:rPr>
        <w:t xml:space="preserve">       2022年</w:t>
      </w:r>
      <w:r>
        <w:rPr>
          <w:rFonts w:hint="eastAsia" w:ascii="Times New Roman" w:hAnsi="Times New Roman" w:eastAsia="仿宋" w:cs="Times New Roman"/>
          <w:sz w:val="28"/>
          <w:szCs w:val="28"/>
          <w:lang w:val="en-US" w:eastAsia="zh-CN"/>
        </w:rPr>
        <w:t>0</w:t>
      </w:r>
      <w:r>
        <w:rPr>
          <w:rFonts w:hint="eastAsia" w:ascii="Times New Roman" w:hAnsi="Times New Roman" w:eastAsia="仿宋" w:cs="Times New Roman"/>
          <w:sz w:val="28"/>
          <w:szCs w:val="28"/>
        </w:rPr>
        <w:t>6月</w:t>
      </w:r>
      <w:r>
        <w:rPr>
          <w:rFonts w:hint="eastAsia" w:ascii="Times New Roman" w:hAnsi="Times New Roman" w:eastAsia="仿宋" w:cs="Times New Roman"/>
          <w:sz w:val="28"/>
          <w:szCs w:val="28"/>
          <w:lang w:val="en-US" w:eastAsia="zh-CN"/>
        </w:rPr>
        <w:t>0</w:t>
      </w:r>
      <w:r>
        <w:rPr>
          <w:rFonts w:hint="eastAsia" w:ascii="Times New Roman" w:hAnsi="Times New Roman" w:eastAsia="仿宋" w:cs="Times New Roman"/>
          <w:sz w:val="28"/>
          <w:szCs w:val="28"/>
        </w:rPr>
        <w:t>2日</w:t>
      </w:r>
    </w:p>
    <w:sectPr>
      <w:pgSz w:w="11906" w:h="16838"/>
      <w:pgMar w:top="1440" w:right="1800" w:bottom="1440" w:left="1800"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GFlYjQxNDk2Y2IxZTA5MDE4NzhiODVlOTQzMjYifQ=="/>
  </w:docVars>
  <w:rsids>
    <w:rsidRoot w:val="00E7730A"/>
    <w:rsid w:val="0016660C"/>
    <w:rsid w:val="00223B31"/>
    <w:rsid w:val="002819C4"/>
    <w:rsid w:val="003B0E09"/>
    <w:rsid w:val="004428D8"/>
    <w:rsid w:val="004A5028"/>
    <w:rsid w:val="004A6DE0"/>
    <w:rsid w:val="004D1931"/>
    <w:rsid w:val="00547D74"/>
    <w:rsid w:val="00783E76"/>
    <w:rsid w:val="007D5CAD"/>
    <w:rsid w:val="008C2266"/>
    <w:rsid w:val="00AA787F"/>
    <w:rsid w:val="00AC17DC"/>
    <w:rsid w:val="00B36EEF"/>
    <w:rsid w:val="00D854A3"/>
    <w:rsid w:val="00E7730A"/>
    <w:rsid w:val="00E90860"/>
    <w:rsid w:val="00F15C85"/>
    <w:rsid w:val="0160677F"/>
    <w:rsid w:val="01A84684"/>
    <w:rsid w:val="02623D5E"/>
    <w:rsid w:val="02744DFC"/>
    <w:rsid w:val="03381F7B"/>
    <w:rsid w:val="058C031F"/>
    <w:rsid w:val="058F7034"/>
    <w:rsid w:val="070B7628"/>
    <w:rsid w:val="086735DA"/>
    <w:rsid w:val="093631C1"/>
    <w:rsid w:val="096B5868"/>
    <w:rsid w:val="0BA53C84"/>
    <w:rsid w:val="0C1053F3"/>
    <w:rsid w:val="0C8D178D"/>
    <w:rsid w:val="0D442897"/>
    <w:rsid w:val="0E4824D1"/>
    <w:rsid w:val="0F234E48"/>
    <w:rsid w:val="121560E2"/>
    <w:rsid w:val="125159BE"/>
    <w:rsid w:val="12696DCF"/>
    <w:rsid w:val="1316175D"/>
    <w:rsid w:val="150C50B9"/>
    <w:rsid w:val="168235F5"/>
    <w:rsid w:val="16A51E7D"/>
    <w:rsid w:val="1EDC1D5D"/>
    <w:rsid w:val="1F7E5AC9"/>
    <w:rsid w:val="20190B7D"/>
    <w:rsid w:val="23960EE1"/>
    <w:rsid w:val="24CE2459"/>
    <w:rsid w:val="276530C8"/>
    <w:rsid w:val="282C1E70"/>
    <w:rsid w:val="288F0301"/>
    <w:rsid w:val="298032A4"/>
    <w:rsid w:val="2A3C1372"/>
    <w:rsid w:val="2AFA22F6"/>
    <w:rsid w:val="2BAC7913"/>
    <w:rsid w:val="300B7924"/>
    <w:rsid w:val="317636E0"/>
    <w:rsid w:val="340B28F4"/>
    <w:rsid w:val="34BA63BE"/>
    <w:rsid w:val="3B213EA0"/>
    <w:rsid w:val="3B4E753E"/>
    <w:rsid w:val="3C387EF7"/>
    <w:rsid w:val="3EDB0DD8"/>
    <w:rsid w:val="42B74863"/>
    <w:rsid w:val="43275709"/>
    <w:rsid w:val="444E0F4B"/>
    <w:rsid w:val="44666155"/>
    <w:rsid w:val="44984484"/>
    <w:rsid w:val="44EF231D"/>
    <w:rsid w:val="450C1563"/>
    <w:rsid w:val="464A534D"/>
    <w:rsid w:val="4686569B"/>
    <w:rsid w:val="476D4F33"/>
    <w:rsid w:val="4782099A"/>
    <w:rsid w:val="485139F2"/>
    <w:rsid w:val="49903D55"/>
    <w:rsid w:val="49E46E10"/>
    <w:rsid w:val="49EB18A4"/>
    <w:rsid w:val="4D9413A4"/>
    <w:rsid w:val="4FD24D77"/>
    <w:rsid w:val="51932B96"/>
    <w:rsid w:val="53122724"/>
    <w:rsid w:val="54BD7B9D"/>
    <w:rsid w:val="54D336DD"/>
    <w:rsid w:val="55653A2B"/>
    <w:rsid w:val="55FD3419"/>
    <w:rsid w:val="57090810"/>
    <w:rsid w:val="57E705BA"/>
    <w:rsid w:val="5A3E5734"/>
    <w:rsid w:val="5C416E74"/>
    <w:rsid w:val="5D766FCC"/>
    <w:rsid w:val="614C13DD"/>
    <w:rsid w:val="61520B73"/>
    <w:rsid w:val="624712EB"/>
    <w:rsid w:val="628B3CB8"/>
    <w:rsid w:val="62E0350B"/>
    <w:rsid w:val="63632C31"/>
    <w:rsid w:val="649C31D8"/>
    <w:rsid w:val="680F77E0"/>
    <w:rsid w:val="68625DC5"/>
    <w:rsid w:val="6BD67613"/>
    <w:rsid w:val="6CA61DF3"/>
    <w:rsid w:val="6D0756E3"/>
    <w:rsid w:val="6D7C4655"/>
    <w:rsid w:val="6FE97291"/>
    <w:rsid w:val="73AC46EC"/>
    <w:rsid w:val="76443517"/>
    <w:rsid w:val="76FC4DBB"/>
    <w:rsid w:val="775216DB"/>
    <w:rsid w:val="782F3CE7"/>
    <w:rsid w:val="78D73C4C"/>
    <w:rsid w:val="78DB1BED"/>
    <w:rsid w:val="79F725D2"/>
    <w:rsid w:val="7ACD2C56"/>
    <w:rsid w:val="7AF84604"/>
    <w:rsid w:val="7C8A7AF9"/>
    <w:rsid w:val="7E431356"/>
    <w:rsid w:val="7F9D7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 小四 首行缩进:  0.85 厘米 行距: 固定值 22 磅"/>
    <w:basedOn w:val="1"/>
    <w:next w:val="1"/>
    <w:qFormat/>
    <w:uiPriority w:val="0"/>
    <w:pPr>
      <w:spacing w:line="440" w:lineRule="exact"/>
      <w:ind w:firstLine="480"/>
    </w:pPr>
    <w:rPr>
      <w:sz w:val="24"/>
      <w:szCs w:val="20"/>
    </w:rPr>
  </w:style>
  <w:style w:type="paragraph" w:styleId="4">
    <w:name w:val="Document Map"/>
    <w:basedOn w:val="1"/>
    <w:link w:val="17"/>
    <w:qFormat/>
    <w:uiPriority w:val="99"/>
    <w:rPr>
      <w:rFonts w:ascii="宋体" w:eastAsia="宋体"/>
      <w:sz w:val="18"/>
      <w:szCs w:val="18"/>
    </w:rPr>
  </w:style>
  <w:style w:type="paragraph" w:styleId="5">
    <w:name w:val="Body Text Indent"/>
    <w:basedOn w:val="1"/>
    <w:qFormat/>
    <w:uiPriority w:val="0"/>
    <w:pPr>
      <w:spacing w:line="300" w:lineRule="exact"/>
      <w:ind w:firstLine="538"/>
    </w:pPr>
    <w:rPr>
      <w:rFonts w:ascii="宋体" w:hAnsi="Times New Roman" w:eastAsia="宋体" w:cs="Times New Roman"/>
      <w:sz w:val="24"/>
      <w:szCs w:val="24"/>
    </w:rPr>
  </w:style>
  <w:style w:type="paragraph" w:styleId="6">
    <w:name w:val="Body Text Indent 2"/>
    <w:basedOn w:val="1"/>
    <w:unhideWhenUsed/>
    <w:qFormat/>
    <w:uiPriority w:val="0"/>
    <w:pPr>
      <w:spacing w:beforeLines="0"/>
      <w:ind w:firstLine="525"/>
    </w:pPr>
    <w:rPr>
      <w:rFonts w:hint="default"/>
      <w:sz w:val="28"/>
      <w:szCs w:val="20"/>
    </w:rPr>
  </w:style>
  <w:style w:type="paragraph" w:styleId="7">
    <w:name w:val="footer"/>
    <w:basedOn w:val="1"/>
    <w:link w:val="19"/>
    <w:qFormat/>
    <w:uiPriority w:val="99"/>
    <w:pPr>
      <w:tabs>
        <w:tab w:val="center" w:pos="4153"/>
        <w:tab w:val="right" w:pos="8306"/>
      </w:tabs>
    </w:pPr>
    <w:rPr>
      <w:sz w:val="18"/>
      <w:szCs w:val="18"/>
    </w:rPr>
  </w:style>
  <w:style w:type="paragraph" w:styleId="8">
    <w:name w:val="header"/>
    <w:basedOn w:val="1"/>
    <w:link w:val="18"/>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pPr>
      <w:spacing w:beforeAutospacing="1" w:after="0" w:afterAutospacing="1"/>
    </w:pPr>
    <w:rPr>
      <w:rFonts w:cs="Times New Roman"/>
      <w:sz w:val="24"/>
    </w:rPr>
  </w:style>
  <w:style w:type="paragraph" w:styleId="10">
    <w:name w:val="Body Text First Indent 2"/>
    <w:basedOn w:val="5"/>
    <w:unhideWhenUsed/>
    <w:qFormat/>
    <w:uiPriority w:val="99"/>
    <w:pPr>
      <w:spacing w:after="120"/>
      <w:ind w:left="420" w:leftChars="200"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文档结构图 Char"/>
    <w:basedOn w:val="13"/>
    <w:link w:val="4"/>
    <w:qFormat/>
    <w:uiPriority w:val="99"/>
    <w:rPr>
      <w:rFonts w:ascii="宋体" w:hAnsi="Tahoma" w:eastAsia="宋体"/>
      <w:sz w:val="18"/>
      <w:szCs w:val="18"/>
    </w:rPr>
  </w:style>
  <w:style w:type="character" w:customStyle="1" w:styleId="18">
    <w:name w:val="页眉 Char"/>
    <w:basedOn w:val="13"/>
    <w:link w:val="8"/>
    <w:qFormat/>
    <w:uiPriority w:val="99"/>
    <w:rPr>
      <w:rFonts w:ascii="Tahoma" w:hAnsi="Tahoma"/>
      <w:sz w:val="18"/>
      <w:szCs w:val="18"/>
    </w:rPr>
  </w:style>
  <w:style w:type="character" w:customStyle="1" w:styleId="19">
    <w:name w:val="页脚 Char"/>
    <w:basedOn w:val="13"/>
    <w:link w:val="7"/>
    <w:qFormat/>
    <w:uiPriority w:val="99"/>
    <w:rPr>
      <w:rFonts w:ascii="Tahoma" w:hAnsi="Tahoma"/>
      <w:sz w:val="18"/>
      <w:szCs w:val="18"/>
    </w:rPr>
  </w:style>
  <w:style w:type="paragraph" w:customStyle="1" w:styleId="20">
    <w:name w:val="表格002"/>
    <w:basedOn w:val="1"/>
    <w:qFormat/>
    <w:uiPriority w:val="0"/>
    <w:pPr>
      <w:spacing w:line="360" w:lineRule="auto"/>
      <w:jc w:val="center"/>
    </w:pPr>
    <w:rPr>
      <w:rFonts w:eastAsia="宋体"/>
      <w:sz w:val="24"/>
    </w:rPr>
  </w:style>
  <w:style w:type="paragraph" w:customStyle="1" w:styleId="21">
    <w:name w:val="文本样式"/>
    <w:basedOn w:val="1"/>
    <w:qFormat/>
    <w:uiPriority w:val="99"/>
    <w:pPr>
      <w:spacing w:line="360" w:lineRule="auto"/>
      <w:ind w:firstLine="200" w:firstLineChars="200"/>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2364</Words>
  <Characters>2647</Characters>
  <Lines>21</Lines>
  <Paragraphs>6</Paragraphs>
  <TotalTime>7</TotalTime>
  <ScaleCrop>false</ScaleCrop>
  <LinksUpToDate>false</LinksUpToDate>
  <CharactersWithSpaces>2702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2019-01-26T23:41:00Z</dcterms:created>
  <dc:creator>Administrator</dc:creator>
  <cp:lastModifiedBy>9®5. </cp:lastModifiedBy>
  <cp:lastPrinted>2022-07-01T04:43:00Z</cp:lastPrinted>
  <dcterms:modified xsi:type="dcterms:W3CDTF">2022-08-09T08:54:21Z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2CCA0C0B85904E34864FC388FAA63E7A</vt:lpwstr>
  </property>
</Properties>
</file>