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firstLine="0" w:firstLineChars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hint="eastAsia" w:ascii="Times New Roman" w:hAnsi="Times New Roman" w:cs="Times New Roman"/>
          <w:b/>
          <w:spacing w:val="-6"/>
          <w:sz w:val="32"/>
          <w:szCs w:val="32"/>
          <w:lang w:eastAsia="zh-CN"/>
        </w:rPr>
        <w:t>振华万象温泉旅游度假项目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竣工环境保护验收意见</w:t>
      </w:r>
    </w:p>
    <w:p>
      <w:pPr>
        <w:pStyle w:val="14"/>
        <w:ind w:firstLine="560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2022年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日</w:t>
      </w:r>
      <w:r>
        <w:rPr>
          <w:rFonts w:hint="eastAsia" w:ascii="Times New Roman" w:hAnsi="Times New Roman" w:eastAsia="仿宋" w:cs="Times New Roman"/>
          <w:sz w:val="28"/>
          <w:szCs w:val="28"/>
        </w:rPr>
        <w:t>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贵州振华万象温泉有限公司</w:t>
      </w:r>
      <w:r>
        <w:rPr>
          <w:rFonts w:hint="eastAsia" w:ascii="Times New Roman" w:hAnsi="Times New Roman" w:eastAsia="仿宋" w:cs="Times New Roman"/>
          <w:sz w:val="28"/>
          <w:szCs w:val="28"/>
        </w:rPr>
        <w:t>根据</w:t>
      </w:r>
      <w:r>
        <w:rPr>
          <w:rFonts w:ascii="Times New Roman" w:hAnsi="Times New Roman" w:eastAsia="仿宋" w:cs="Times New Roman"/>
          <w:sz w:val="28"/>
          <w:szCs w:val="28"/>
        </w:rPr>
        <w:t>《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振华万象温泉旅游度假项目</w:t>
      </w:r>
      <w:r>
        <w:rPr>
          <w:rFonts w:ascii="Times New Roman" w:hAnsi="Times New Roman" w:eastAsia="仿宋" w:cs="Times New Roman"/>
          <w:sz w:val="28"/>
          <w:szCs w:val="28"/>
        </w:rPr>
        <w:t>竣工环境保护</w:t>
      </w:r>
      <w:r>
        <w:rPr>
          <w:rFonts w:hint="eastAsia" w:ascii="Times New Roman" w:hAnsi="Times New Roman" w:eastAsia="仿宋" w:cs="Times New Roman"/>
          <w:sz w:val="28"/>
          <w:szCs w:val="28"/>
        </w:rPr>
        <w:t>验收监测报告》并对照《建设项目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竣工</w:t>
      </w:r>
      <w:r>
        <w:rPr>
          <w:rFonts w:hint="eastAsia" w:ascii="Times New Roman" w:hAnsi="Times New Roman" w:eastAsia="仿宋" w:cs="Times New Roman"/>
          <w:sz w:val="28"/>
          <w:szCs w:val="28"/>
        </w:rPr>
        <w:t>环境保护验收暂行办法》，依照国家有关法律法规、建设项目竣工环境保护验收技术指南（污染影响类）、本项目环境影响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报告书</w:t>
      </w:r>
      <w:r>
        <w:rPr>
          <w:rFonts w:hint="eastAsia" w:ascii="Times New Roman" w:hAnsi="Times New Roman" w:eastAsia="仿宋" w:cs="Times New Roman"/>
          <w:sz w:val="28"/>
          <w:szCs w:val="28"/>
        </w:rPr>
        <w:t>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贵阳市环境保护局对环境影响报告书的</w:t>
      </w:r>
      <w:r>
        <w:rPr>
          <w:rFonts w:hint="eastAsia" w:ascii="Times New Roman" w:hAnsi="Times New Roman" w:eastAsia="仿宋" w:cs="Times New Roman"/>
          <w:sz w:val="28"/>
          <w:szCs w:val="28"/>
        </w:rPr>
        <w:t>批复等要求对本项目进行验收，提出意见如下：</w:t>
      </w:r>
    </w:p>
    <w:p>
      <w:pPr>
        <w:spacing w:line="360" w:lineRule="auto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一、工程建设基本情况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1、建设地点、规模、主要建设内容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本项目位于贵阳市乌当区新添大道150号。项目规划占地面积24250.95m</w:t>
      </w:r>
      <w:r>
        <w:rPr>
          <w:rFonts w:hint="eastAsia" w:ascii="Times New Roman" w:hAnsi="Times New Roman" w:eastAsia="仿宋" w:cs="Times New Roman"/>
          <w:sz w:val="28"/>
          <w:szCs w:val="28"/>
          <w:vertAlign w:val="superscript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，总建筑面积45641.27m</w:t>
      </w:r>
      <w:r>
        <w:rPr>
          <w:rFonts w:hint="eastAsia" w:ascii="Times New Roman" w:hAnsi="Times New Roman" w:eastAsia="仿宋" w:cs="Times New Roman"/>
          <w:sz w:val="28"/>
          <w:szCs w:val="28"/>
          <w:vertAlign w:val="superscript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由五星级酒店区、旅游文化娱乐区两部分组成，停车位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970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个。</w:t>
      </w:r>
      <w:r>
        <w:rPr>
          <w:rFonts w:hint="eastAsia" w:ascii="Times New Roman" w:hAnsi="Times New Roman" w:eastAsia="仿宋" w:cs="Times New Roman"/>
          <w:sz w:val="28"/>
          <w:szCs w:val="28"/>
        </w:rPr>
        <w:t>主要建设内容为酒店主楼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/</w:t>
      </w:r>
      <w:r>
        <w:rPr>
          <w:rFonts w:hint="eastAsia" w:ascii="Times New Roman" w:hAnsi="Times New Roman" w:eastAsia="仿宋" w:cs="Times New Roman"/>
          <w:sz w:val="28"/>
          <w:szCs w:val="28"/>
        </w:rPr>
        <w:t>附楼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温泉接待中心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餐饮娱乐综合楼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会所（度假型）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康体健身中心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休闲小屋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温泉管理用房、地下车库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公用工程、环保工程等。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2、建设过程及环保审批情况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201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</w:rPr>
        <w:t>年3月，贵州大学编制完成《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振华万象温泉旅游度假项目</w:t>
      </w:r>
      <w:r>
        <w:rPr>
          <w:rFonts w:hint="eastAsia" w:ascii="Times New Roman" w:hAnsi="Times New Roman" w:eastAsia="仿宋" w:cs="Times New Roman"/>
          <w:sz w:val="28"/>
          <w:szCs w:val="28"/>
        </w:rPr>
        <w:t>环境影响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报告书</w:t>
      </w:r>
      <w:r>
        <w:rPr>
          <w:rFonts w:hint="eastAsia" w:ascii="Times New Roman" w:hAnsi="Times New Roman" w:eastAsia="仿宋" w:cs="Times New Roman"/>
          <w:sz w:val="28"/>
          <w:szCs w:val="28"/>
        </w:rPr>
        <w:t>》。2012年4月12日，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贵阳市环境保护局</w:t>
      </w:r>
      <w:r>
        <w:rPr>
          <w:rFonts w:hint="eastAsia" w:ascii="Times New Roman" w:hAnsi="Times New Roman" w:eastAsia="仿宋" w:cs="Times New Roman"/>
          <w:sz w:val="28"/>
          <w:szCs w:val="28"/>
        </w:rPr>
        <w:t>以筑环审[2012] 26号文对该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报告书</w:t>
      </w:r>
      <w:r>
        <w:rPr>
          <w:rFonts w:hint="eastAsia" w:ascii="Times New Roman" w:hAnsi="Times New Roman" w:eastAsia="仿宋" w:cs="Times New Roman"/>
          <w:sz w:val="28"/>
          <w:szCs w:val="28"/>
        </w:rPr>
        <w:t>予以批复。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项目于2012年6月开工建设，温泉度假中心2017年2月竣工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投入</w:t>
      </w:r>
      <w:r>
        <w:rPr>
          <w:rFonts w:hint="eastAsia" w:ascii="Times New Roman" w:hAnsi="Times New Roman" w:eastAsia="仿宋" w:cs="Times New Roman"/>
          <w:sz w:val="28"/>
          <w:szCs w:val="28"/>
        </w:rPr>
        <w:t>试运营，酒店2018年12月竣工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投入</w:t>
      </w:r>
      <w:r>
        <w:rPr>
          <w:rFonts w:hint="eastAsia" w:ascii="Times New Roman" w:hAnsi="Times New Roman" w:eastAsia="仿宋" w:cs="Times New Roman"/>
          <w:sz w:val="28"/>
          <w:szCs w:val="28"/>
        </w:rPr>
        <w:t>试运营。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3、投资情况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本项目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实际</w:t>
      </w:r>
      <w:r>
        <w:rPr>
          <w:rFonts w:hint="eastAsia" w:ascii="Times New Roman" w:hAnsi="Times New Roman" w:eastAsia="仿宋" w:cs="Times New Roman"/>
          <w:sz w:val="28"/>
          <w:szCs w:val="28"/>
        </w:rPr>
        <w:t>投资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56</w:t>
      </w:r>
      <w:r>
        <w:rPr>
          <w:rFonts w:hint="eastAsia" w:ascii="Times New Roman" w:hAnsi="Times New Roman" w:eastAsia="仿宋" w:cs="Times New Roman"/>
          <w:sz w:val="28"/>
          <w:szCs w:val="28"/>
        </w:rPr>
        <w:t>000万元，其中环保投资约185万元。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4、验收范围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与该建设项目有关的各项环保设施。</w:t>
      </w:r>
    </w:p>
    <w:p>
      <w:pPr>
        <w:spacing w:line="360" w:lineRule="auto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二、工程变动情况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1、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污水处理由“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建立完善的污水收集和处理系统。商业废水经隔油池预处理后和生活污水经处理达到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污水综合排放标准》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GB8978-1996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一级标准后通过振华集团排污涵洞排入种猪场小溪,最后汇入南明河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”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变动为“生活污水、餐饮废水、洗浴废水及温泉泡池温泉水经化粪池（餐饮废水经隔油池）处理后直接进入城市污水管网，最终进入新庄污水处理厂处理”。变动原因为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项目建设完成后区域内已接通城市污水管网及城镇污水处理厂，因此在取得相关管理部门同意后，将项目产生的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综合废水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经化粪池、隔油池处理后直接进入城市污水管网，最终进入新庄污水处理厂处理。</w:t>
      </w:r>
    </w:p>
    <w:p>
      <w:pPr>
        <w:spacing w:line="360" w:lineRule="auto"/>
        <w:ind w:firstLine="560" w:firstLineChars="200"/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eastAsia="zh-CN"/>
        </w:rPr>
        <w:t>2、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油烟处理由“餐饮娱乐综合楼厨房油烟净化器1套及专用烟道1个”变动为“在酒店1楼、4楼、6楼和员工食堂分别设置1套油烟净化设施及排烟管道引至楼顶排放”。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、规划占地面积91167m</w:t>
      </w:r>
      <w:r>
        <w:rPr>
          <w:rFonts w:hint="eastAsia" w:ascii="仿宋" w:hAnsi="仿宋" w:eastAsia="仿宋" w:cs="仿宋"/>
          <w:kern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，总建筑面积225678m</w:t>
      </w:r>
      <w:r>
        <w:rPr>
          <w:rFonts w:hint="eastAsia" w:ascii="仿宋" w:hAnsi="仿宋" w:eastAsia="仿宋" w:cs="仿宋"/>
          <w:kern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（地上建筑面积182993m</w:t>
      </w:r>
      <w:r>
        <w:rPr>
          <w:rFonts w:hint="eastAsia" w:ascii="仿宋" w:hAnsi="仿宋" w:eastAsia="仿宋" w:cs="仿宋"/>
          <w:kern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、地下建筑面积42685m</w:t>
      </w:r>
      <w:r>
        <w:rPr>
          <w:rFonts w:hint="eastAsia" w:ascii="仿宋" w:hAnsi="仿宋" w:eastAsia="仿宋" w:cs="仿宋"/>
          <w:kern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）变为规划占地面积24250.95m</w:t>
      </w:r>
      <w:r>
        <w:rPr>
          <w:rFonts w:hint="eastAsia" w:ascii="仿宋" w:hAnsi="仿宋" w:eastAsia="仿宋" w:cs="仿宋"/>
          <w:kern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，总建筑面积45641.27m</w:t>
      </w:r>
      <w:r>
        <w:rPr>
          <w:rFonts w:hint="eastAsia" w:ascii="仿宋" w:hAnsi="仿宋" w:eastAsia="仿宋" w:cs="仿宋"/>
          <w:kern w:val="0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。规划的住宅区及其配套设施由于并未取得用地手续，已经不属于本项目范围，不纳入本次验收范围。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以上变动对环境影响不大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三、环保设施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及措施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1、</w:t>
      </w:r>
      <w:r>
        <w:rPr>
          <w:rFonts w:hint="eastAsia" w:ascii="Times New Roman" w:hAnsi="Times New Roman" w:eastAsia="仿宋" w:cs="Times New Roman"/>
          <w:sz w:val="28"/>
          <w:szCs w:val="28"/>
        </w:rPr>
        <w:t>废水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生活污水、餐饮废水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</w:rPr>
        <w:t>经隔油池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处理后</w:t>
      </w:r>
      <w:r>
        <w:rPr>
          <w:rFonts w:hint="eastAsia" w:ascii="Times New Roman" w:hAnsi="Times New Roman" w:eastAsia="仿宋" w:cs="Times New Roman"/>
          <w:sz w:val="28"/>
          <w:szCs w:val="28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洗浴废水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及温泉泡池温泉水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经</w:t>
      </w:r>
      <w:r>
        <w:rPr>
          <w:rFonts w:hint="eastAsia" w:ascii="Times New Roman" w:hAnsi="Times New Roman" w:eastAsia="仿宋" w:cs="Times New Roman"/>
          <w:sz w:val="28"/>
          <w:szCs w:val="28"/>
        </w:rPr>
        <w:t>化粪池处理后进入市政污水管网，最终进入新庄污水处理厂处理。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2、废气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酒店1楼、4楼、6楼和员工食堂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油烟</w:t>
      </w:r>
      <w:r>
        <w:rPr>
          <w:rFonts w:hint="eastAsia" w:ascii="Times New Roman" w:hAnsi="Times New Roman" w:eastAsia="仿宋" w:cs="Times New Roman"/>
          <w:sz w:val="28"/>
          <w:szCs w:val="28"/>
        </w:rPr>
        <w:t>分别设置1套油烟净化设施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处理</w:t>
      </w:r>
      <w:r>
        <w:rPr>
          <w:rFonts w:hint="eastAsia" w:ascii="Times New Roman" w:hAnsi="Times New Roman" w:eastAsia="仿宋" w:cs="Times New Roman"/>
          <w:sz w:val="28"/>
          <w:szCs w:val="28"/>
        </w:rPr>
        <w:t>后经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各自</w:t>
      </w:r>
      <w:r>
        <w:rPr>
          <w:rFonts w:hint="eastAsia" w:ascii="Times New Roman" w:hAnsi="Times New Roman" w:eastAsia="仿宋" w:cs="Times New Roman"/>
          <w:sz w:val="28"/>
          <w:szCs w:val="28"/>
        </w:rPr>
        <w:t>专用排烟管道引至楼顶排放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地下停车库采取通风排气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地面停车场汽车尾气自然扩散。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垃圾收集站采用全封闭式结构，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周边加强</w:t>
      </w:r>
      <w:r>
        <w:rPr>
          <w:rFonts w:hint="eastAsia" w:ascii="Times New Roman" w:hAnsi="Times New Roman" w:eastAsia="仿宋" w:cs="Times New Roman"/>
          <w:sz w:val="28"/>
          <w:szCs w:val="28"/>
        </w:rPr>
        <w:t>绿化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28"/>
          <w:szCs w:val="28"/>
        </w:rPr>
        <w:t>生活垃圾及时清运。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3、噪声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选用低噪声设备。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设备减振、隔声。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车辆</w:t>
      </w:r>
      <w:r>
        <w:rPr>
          <w:rFonts w:hint="eastAsia" w:ascii="Times New Roman" w:hAnsi="Times New Roman" w:eastAsia="仿宋" w:cs="Times New Roman"/>
          <w:sz w:val="28"/>
          <w:szCs w:val="28"/>
        </w:rPr>
        <w:t>禁鸣、低速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加强绿化。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4、固体废物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生活垃圾通过垃圾收集站集中收集后送市政部门垃圾转运站，由市政部门统一送入高雁生活垃圾卫生填埋场进行填埋处置。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化粪池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定期委托环卫部门</w:t>
      </w:r>
      <w:r>
        <w:rPr>
          <w:rFonts w:hint="eastAsia" w:ascii="Times New Roman" w:hAnsi="Times New Roman" w:eastAsia="仿宋" w:cs="Times New Roman"/>
          <w:sz w:val="28"/>
          <w:szCs w:val="28"/>
        </w:rPr>
        <w:t>清掏。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5、其他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落实风险防控要求。</w:t>
      </w:r>
    </w:p>
    <w:p>
      <w:pPr>
        <w:spacing w:line="360" w:lineRule="auto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四、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环保设施调试运行效果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根据贵州伍洲同创检测科技有限公司2022年5月19日至2022年5月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" w:cs="Times New Roman"/>
          <w:sz w:val="28"/>
          <w:szCs w:val="28"/>
        </w:rPr>
        <w:t>日现场监测结果：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1、生产工况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本项目验收监测期间，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项目正常运行，</w:t>
      </w:r>
      <w:r>
        <w:rPr>
          <w:rFonts w:hint="eastAsia" w:ascii="Times New Roman" w:hAnsi="Times New Roman" w:eastAsia="仿宋" w:cs="Times New Roman"/>
          <w:sz w:val="28"/>
          <w:szCs w:val="28"/>
        </w:rPr>
        <w:t>环保设施运行正常，基本满足验收监测要求。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2、废水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化粪池</w:t>
      </w:r>
      <w:r>
        <w:rPr>
          <w:rFonts w:hint="eastAsia" w:ascii="Times New Roman" w:hAnsi="Times New Roman" w:eastAsia="仿宋" w:cs="Times New Roman"/>
          <w:sz w:val="28"/>
          <w:szCs w:val="28"/>
        </w:rPr>
        <w:t>排口pH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悬浮物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化学需氧量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五日生化需氧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动植物油等监测结果满足《污水综合排放标准》（GB8978-1996）表4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sz w:val="28"/>
          <w:szCs w:val="28"/>
        </w:rPr>
        <w:t>级标准要求。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3、废气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酒店1楼、4楼、6楼和员工食堂等4个</w:t>
      </w:r>
      <w:r>
        <w:rPr>
          <w:rFonts w:hint="eastAsia" w:ascii="Times New Roman" w:hAnsi="Times New Roman" w:eastAsia="仿宋" w:cs="Times New Roman"/>
          <w:sz w:val="28"/>
          <w:szCs w:val="28"/>
        </w:rPr>
        <w:t>油烟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排口</w:t>
      </w:r>
      <w:r>
        <w:rPr>
          <w:rFonts w:hint="eastAsia" w:ascii="Times New Roman" w:hAnsi="Times New Roman" w:eastAsia="仿宋" w:cs="Times New Roman"/>
          <w:sz w:val="28"/>
          <w:szCs w:val="28"/>
        </w:rPr>
        <w:t>油烟浓度监测结果满足《饮食业油烟排放标准（试行）》（GB18483-2001）表2中型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/大型</w:t>
      </w:r>
      <w:r>
        <w:rPr>
          <w:rFonts w:hint="eastAsia" w:ascii="Times New Roman" w:hAnsi="Times New Roman" w:eastAsia="仿宋" w:cs="Times New Roman"/>
          <w:sz w:val="28"/>
          <w:szCs w:val="28"/>
        </w:rPr>
        <w:t>规模要求。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无组织排放氮氧化物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</w:rPr>
        <w:t>二氧化硫浓度监测结果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均</w:t>
      </w:r>
      <w:r>
        <w:rPr>
          <w:rFonts w:hint="eastAsia" w:ascii="Times New Roman" w:hAnsi="Times New Roman" w:eastAsia="仿宋" w:cs="Times New Roman"/>
          <w:sz w:val="28"/>
          <w:szCs w:val="28"/>
        </w:rPr>
        <w:t>满足《大气污染物综合排放标准》（GBl6297-1996）表2无组织排放监控浓度限值要求。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4、噪声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场界各监测点昼、夜间噪声监测值均符合《社会生活环境噪声排放标准》（GB22337－2008）2类区排放限值要求。</w:t>
      </w:r>
    </w:p>
    <w:p>
      <w:pPr>
        <w:spacing w:line="360" w:lineRule="auto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五、工程建设对环境的影响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根据贵州伍洲同创检测科技有限公司2022年5月19日至2022年5月20日现场监测结果：</w:t>
      </w:r>
    </w:p>
    <w:p>
      <w:pPr>
        <w:spacing w:line="360" w:lineRule="auto"/>
        <w:ind w:firstLine="560" w:firstLineChars="200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项目区域临道路一侧监测点昼、夜间噪声监测值均符合《声环境质量标准》（GB3096-2008）4a类标准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要求。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项目排放的废气、噪声符合污染物排放标准相关限值要求，废水、固体废物处理符合相关要求，对环境影响不大。</w:t>
      </w:r>
    </w:p>
    <w:p>
      <w:pPr>
        <w:spacing w:line="360" w:lineRule="auto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六、验收结论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项目环保审批手续齐全，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落实排污许可相关要求的前提下，</w:t>
      </w:r>
      <w:r>
        <w:rPr>
          <w:rFonts w:hint="eastAsia" w:ascii="Times New Roman" w:hAnsi="Times New Roman" w:eastAsia="仿宋" w:cs="Times New Roman"/>
          <w:sz w:val="28"/>
          <w:szCs w:val="28"/>
        </w:rPr>
        <w:t>总体满足环评及批复要求，基本符合竣工环保验收条件，项目自主验收基本合格。</w:t>
      </w:r>
    </w:p>
    <w:p>
      <w:pPr>
        <w:spacing w:line="360" w:lineRule="auto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七、后续要求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1、落实风险防控相关要求。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2、按建设项目竣工环境保护验收技术指南（污染影响类）相关要求完善验收监测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报告</w:t>
      </w:r>
      <w:r>
        <w:rPr>
          <w:rFonts w:hint="eastAsia" w:ascii="Times New Roman" w:hAnsi="Times New Roman" w:eastAsia="仿宋" w:cs="Times New Roman"/>
          <w:sz w:val="28"/>
          <w:szCs w:val="28"/>
        </w:rPr>
        <w:t>，规范文本。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3、</w:t>
      </w:r>
      <w:r>
        <w:rPr>
          <w:rFonts w:ascii="Times New Roman" w:hAnsi="Times New Roman" w:eastAsia="仿宋" w:cs="Times New Roman"/>
          <w:sz w:val="28"/>
          <w:szCs w:val="28"/>
        </w:rPr>
        <w:t>加强项目环保管理工作，完善环境保护管理规章制度。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4、加强环保设施的运行管理和日常维护。</w:t>
      </w:r>
    </w:p>
    <w:p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5、场区产生危险废物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时</w:t>
      </w:r>
      <w:r>
        <w:rPr>
          <w:rFonts w:hint="eastAsia" w:ascii="Times New Roman" w:hAnsi="Times New Roman" w:eastAsia="仿宋" w:cs="Times New Roman"/>
          <w:sz w:val="28"/>
          <w:szCs w:val="28"/>
        </w:rPr>
        <w:t>按相关要求加强管理，建立健全相应管理制度和管理档案。</w:t>
      </w:r>
    </w:p>
    <w:p>
      <w:pPr>
        <w:adjustRightInd w:val="0"/>
        <w:spacing w:line="360" w:lineRule="auto"/>
        <w:ind w:firstLine="562" w:firstLineChars="200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八、验收人员信息</w:t>
      </w:r>
    </w:p>
    <w:p>
      <w:pPr>
        <w:pStyle w:val="2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参加验收的单位及人员信息见验收签到表。</w:t>
      </w:r>
    </w:p>
    <w:p>
      <w:pPr>
        <w:pStyle w:val="2"/>
        <w:spacing w:line="360" w:lineRule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sz w:val="28"/>
          <w:szCs w:val="28"/>
        </w:rPr>
        <w:t> 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            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drawing>
          <wp:inline distT="0" distB="0" distL="114300" distR="114300">
            <wp:extent cx="5269865" cy="7452995"/>
            <wp:effectExtent l="0" t="0" r="3175" b="14605"/>
            <wp:docPr id="1" name="图片 1" descr="验收签到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验收签到表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ind w:firstLine="2240" w:firstLineChars="800"/>
        <w:rPr>
          <w:rFonts w:hint="eastAsia" w:ascii="Times New Roman" w:hAnsi="Times New Roman" w:eastAsia="仿宋" w:cs="Times New Roman"/>
          <w:sz w:val="28"/>
          <w:szCs w:val="28"/>
        </w:rPr>
      </w:pPr>
    </w:p>
    <w:p>
      <w:pPr>
        <w:pStyle w:val="2"/>
        <w:spacing w:line="360" w:lineRule="auto"/>
        <w:ind w:firstLine="3640" w:firstLineChars="1300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贵州振华万象温泉有限公司</w:t>
      </w:r>
    </w:p>
    <w:p>
      <w:pPr>
        <w:spacing w:line="360" w:lineRule="auto"/>
        <w:ind w:firstLine="4200" w:firstLineChars="1500"/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2022年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MGFlYjQxNDk2Y2IxZTA5MDE4NzhiODVlOTQzMjYifQ=="/>
  </w:docVars>
  <w:rsids>
    <w:rsidRoot w:val="00000000"/>
    <w:rsid w:val="2F9B67F1"/>
    <w:rsid w:val="38EB48EB"/>
    <w:rsid w:val="6B0A4325"/>
    <w:rsid w:val="76276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rFonts w:eastAsia="黑体"/>
      <w:b/>
      <w:bCs/>
      <w:kern w:val="44"/>
      <w:sz w:val="28"/>
      <w:szCs w:val="44"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link w:val="22"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szCs w:val="20"/>
    </w:rPr>
  </w:style>
  <w:style w:type="paragraph" w:styleId="11">
    <w:name w:val="Body Text First Indent"/>
    <w:basedOn w:val="4"/>
    <w:link w:val="23"/>
    <w:qFormat/>
    <w:uiPriority w:val="0"/>
    <w:pPr>
      <w:ind w:firstLine="420" w:firstLineChars="100"/>
    </w:pPr>
    <w:rPr>
      <w:rFonts w:ascii="Times New Roman" w:hAnsi="Times New Roman" w:cs="Times New Roman"/>
      <w:szCs w:val="20"/>
    </w:rPr>
  </w:style>
  <w:style w:type="paragraph" w:customStyle="1" w:styleId="14">
    <w:name w:val="文本样式"/>
    <w:basedOn w:val="1"/>
    <w:qFormat/>
    <w:uiPriority w:val="99"/>
    <w:pPr>
      <w:spacing w:line="360" w:lineRule="auto"/>
      <w:ind w:firstLine="200" w:firstLineChars="200"/>
    </w:pPr>
    <w:rPr>
      <w:sz w:val="24"/>
      <w:szCs w:val="24"/>
    </w:rPr>
  </w:style>
  <w:style w:type="character" w:customStyle="1" w:styleId="15">
    <w:name w:val="不明显强调1"/>
    <w:basedOn w:val="13"/>
    <w:qFormat/>
    <w:uiPriority w:val="19"/>
    <w:rPr>
      <w:i/>
      <w:iCs/>
      <w:color w:val="7F7F7F"/>
    </w:rPr>
  </w:style>
  <w:style w:type="character" w:customStyle="1" w:styleId="16">
    <w:name w:val="日期 Char"/>
    <w:basedOn w:val="13"/>
    <w:link w:val="6"/>
    <w:qFormat/>
    <w:uiPriority w:val="99"/>
  </w:style>
  <w:style w:type="character" w:customStyle="1" w:styleId="17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9">
    <w:name w:val="不明显强调2"/>
    <w:basedOn w:val="13"/>
    <w:qFormat/>
    <w:uiPriority w:val="19"/>
    <w:rPr>
      <w:i/>
      <w:iCs/>
      <w:color w:val="7F7F7F"/>
    </w:rPr>
  </w:style>
  <w:style w:type="character" w:customStyle="1" w:styleId="20">
    <w:name w:val="批注框文本 Char"/>
    <w:basedOn w:val="13"/>
    <w:link w:val="7"/>
    <w:qFormat/>
    <w:uiPriority w:val="99"/>
    <w:rPr>
      <w:kern w:val="2"/>
      <w:sz w:val="18"/>
      <w:szCs w:val="18"/>
    </w:rPr>
  </w:style>
  <w:style w:type="paragraph" w:customStyle="1" w:styleId="21">
    <w:name w:val="样式 文本正文 + (符号) Times New Roman"/>
    <w:basedOn w:val="1"/>
    <w:qFormat/>
    <w:uiPriority w:val="0"/>
    <w:pPr>
      <w:spacing w:line="360" w:lineRule="auto"/>
      <w:ind w:firstLine="200" w:firstLineChars="200"/>
    </w:pPr>
    <w:rPr>
      <w:rFonts w:ascii="Times New Roman" w:hAnsi="宋体" w:cs="Times New Roman"/>
      <w:sz w:val="24"/>
      <w:szCs w:val="21"/>
    </w:rPr>
  </w:style>
  <w:style w:type="character" w:customStyle="1" w:styleId="22">
    <w:name w:val="正文文本 Char"/>
    <w:basedOn w:val="13"/>
    <w:link w:val="4"/>
    <w:qFormat/>
    <w:uiPriority w:val="99"/>
    <w:rPr>
      <w:kern w:val="2"/>
      <w:sz w:val="21"/>
      <w:szCs w:val="22"/>
    </w:rPr>
  </w:style>
  <w:style w:type="character" w:customStyle="1" w:styleId="23">
    <w:name w:val="正文首行缩进 Char"/>
    <w:basedOn w:val="22"/>
    <w:link w:val="11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24">
    <w:name w:val="表格内容 Char Char"/>
    <w:link w:val="25"/>
    <w:qFormat/>
    <w:uiPriority w:val="0"/>
    <w:rPr>
      <w:rFonts w:ascii="宋体" w:hAnsi="宋体" w:eastAsia="宋体" w:cs="宋体"/>
      <w:iCs/>
      <w:kern w:val="2"/>
      <w:sz w:val="21"/>
      <w:szCs w:val="24"/>
    </w:rPr>
  </w:style>
  <w:style w:type="paragraph" w:customStyle="1" w:styleId="25">
    <w:name w:val="表格内容"/>
    <w:basedOn w:val="1"/>
    <w:link w:val="24"/>
    <w:qFormat/>
    <w:uiPriority w:val="0"/>
    <w:pPr>
      <w:spacing w:line="340" w:lineRule="exact"/>
      <w:jc w:val="center"/>
    </w:pPr>
    <w:rPr>
      <w:rFonts w:ascii="宋体" w:hAnsi="宋体"/>
      <w:iCs/>
      <w:szCs w:val="24"/>
    </w:rPr>
  </w:style>
  <w:style w:type="paragraph" w:customStyle="1" w:styleId="26">
    <w:name w:val="表格文字2"/>
    <w:basedOn w:val="1"/>
    <w:qFormat/>
    <w:uiPriority w:val="0"/>
    <w:pPr>
      <w:tabs>
        <w:tab w:val="left" w:pos="277"/>
        <w:tab w:val="left" w:pos="600"/>
        <w:tab w:val="left" w:pos="780"/>
        <w:tab w:val="left" w:pos="2517"/>
      </w:tabs>
      <w:adjustRightInd w:val="0"/>
      <w:spacing w:before="60"/>
    </w:pPr>
    <w:rPr>
      <w:rFonts w:ascii="Times New Roman" w:hAnsi="Times New Roman" w:cs="Times New Roman"/>
      <w:kern w:val="0"/>
      <w:szCs w:val="20"/>
    </w:rPr>
  </w:style>
  <w:style w:type="character" w:customStyle="1" w:styleId="27">
    <w:name w:val="4正文 Char Char"/>
    <w:link w:val="28"/>
    <w:qFormat/>
    <w:uiPriority w:val="0"/>
    <w:rPr>
      <w:rFonts w:ascii="宋体" w:hAnsi="宋体" w:eastAsia="宋体" w:cs="宋体"/>
      <w:kern w:val="2"/>
      <w:sz w:val="24"/>
    </w:rPr>
  </w:style>
  <w:style w:type="paragraph" w:customStyle="1" w:styleId="28">
    <w:name w:val="4正文"/>
    <w:basedOn w:val="1"/>
    <w:link w:val="27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  <w:style w:type="paragraph" w:customStyle="1" w:styleId="29">
    <w:name w:val="1正文段落"/>
    <w:basedOn w:val="1"/>
    <w:qFormat/>
    <w:uiPriority w:val="0"/>
    <w:pPr>
      <w:snapToGrid w:val="0"/>
      <w:spacing w:line="360" w:lineRule="auto"/>
      <w:ind w:firstLine="480" w:firstLineChars="20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1979</Words>
  <Characters>2161</Characters>
  <Paragraphs>64</Paragraphs>
  <TotalTime>14</TotalTime>
  <ScaleCrop>false</ScaleCrop>
  <LinksUpToDate>false</LinksUpToDate>
  <CharactersWithSpaces>2177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2022-03-28T06:48:00Z</dcterms:created>
  <dc:creator>fxy</dc:creator>
  <cp:lastModifiedBy>9®5. </cp:lastModifiedBy>
  <dcterms:modified xsi:type="dcterms:W3CDTF">2022-07-15T07:01:49Z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81c94fc13e6943c7b5307b966f164049</vt:lpwstr>
  </property>
</Properties>
</file>