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贵州华田赣渝房地产开发有限公司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贵州华田赣渝房地产开发有限公司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6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</w:rPr>
              <w:t>北尚华城项目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贵阳白云区曹关村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房地产开发经营（K7210）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本项目规划占地面积52888.3m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，总建筑面积312873.58m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。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本项目规划占地面积52888.3m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，总建筑面积312873.58m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。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中环联（北京）环境保护有限公司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筑环审【2014】93号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贵州华田赣渝房地产开发有限公司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52000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432.1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52000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131.1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贵州华田赣渝房地产开发有限公司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915201130827763706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-8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023A04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443425"/>
    <w:rsid w:val="41770E3B"/>
    <w:rsid w:val="4262204D"/>
    <w:rsid w:val="4321289F"/>
    <w:rsid w:val="43475175"/>
    <w:rsid w:val="438D43C8"/>
    <w:rsid w:val="441E7355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BE10ABA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54765D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3C3EF1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2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paragraph" w:styleId="15">
    <w:name w:val="Body Text First Indent"/>
    <w:basedOn w:val="1"/>
    <w:unhideWhenUsed/>
    <w:qFormat/>
    <w:uiPriority w:val="99"/>
    <w:pPr>
      <w:spacing w:beforeLines="0" w:afterLines="0"/>
      <w:ind w:firstLine="723" w:firstLineChars="200"/>
    </w:pPr>
    <w:rPr>
      <w:rFonts w:hint="eastAsia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none"/>
    </w:rPr>
  </w:style>
  <w:style w:type="paragraph" w:customStyle="1" w:styleId="20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1">
    <w:name w:val="标题 2 Char"/>
    <w:link w:val="3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4">
    <w:name w:val="_Style 1"/>
    <w:basedOn w:val="1"/>
    <w:qFormat/>
    <w:uiPriority w:val="1"/>
    <w:rPr>
      <w:szCs w:val="32"/>
    </w:rPr>
  </w:style>
  <w:style w:type="paragraph" w:customStyle="1" w:styleId="25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6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7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8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9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1">
    <w:name w:val="批注框文本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32">
    <w:name w:val="纯文本 Char"/>
    <w:basedOn w:val="18"/>
    <w:link w:val="8"/>
    <w:qFormat/>
    <w:uiPriority w:val="0"/>
    <w:rPr>
      <w:rFonts w:ascii="宋体" w:hAnsi="Courier New"/>
      <w:sz w:val="24"/>
    </w:rPr>
  </w:style>
  <w:style w:type="paragraph" w:customStyle="1" w:styleId="33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6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5</TotalTime>
  <ScaleCrop>false</ScaleCrop>
  <LinksUpToDate>false</LinksUpToDate>
  <CharactersWithSpaces>18596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2020-08-03T04:47:10Z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