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imes New Roman" w:hAnsi="Times New Roman" w:cs="Times New Roman"/>
          <w:b/>
          <w:spacing w:val="0"/>
          <w:sz w:val="32"/>
          <w:szCs w:val="32"/>
          <w:lang w:eastAsia="zh-CN"/>
        </w:rPr>
      </w:pPr>
      <w:r>
        <w:rPr>
          <w:rFonts w:hint="eastAsia" w:ascii="Times New Roman" w:hAnsi="Times New Roman" w:cs="Times New Roman"/>
          <w:b/>
          <w:spacing w:val="0"/>
          <w:sz w:val="32"/>
          <w:szCs w:val="32"/>
          <w:lang w:eastAsia="zh-CN"/>
        </w:rPr>
        <w:t>银海元隆·熙府项目（原贵阳盘江置业有限公司</w:t>
      </w:r>
    </w:p>
    <w:p>
      <w:pPr>
        <w:pStyle w:val="14"/>
        <w:keepNext w:val="0"/>
        <w:keepLines w:val="0"/>
        <w:pageBreakBefore w:val="0"/>
        <w:widowControl w:val="0"/>
        <w:kinsoku/>
        <w:wordWrap/>
        <w:overflowPunct/>
        <w:topLinePunct w:val="0"/>
        <w:bidi w:val="0"/>
        <w:snapToGrid/>
        <w:spacing w:line="360" w:lineRule="auto"/>
        <w:ind w:firstLine="0" w:firstLineChars="0"/>
        <w:jc w:val="center"/>
        <w:textAlignment w:val="auto"/>
        <w:rPr>
          <w:rFonts w:ascii="Times New Roman" w:hAnsi="Times New Roman" w:cs="Times New Roman"/>
          <w:b/>
          <w:sz w:val="32"/>
          <w:szCs w:val="32"/>
          <w:shd w:val="clear" w:color="auto" w:fill="FFFFFF"/>
        </w:rPr>
      </w:pPr>
      <w:r>
        <w:rPr>
          <w:rFonts w:hint="eastAsia" w:ascii="Times New Roman" w:hAnsi="Times New Roman" w:cs="Times New Roman"/>
          <w:b/>
          <w:spacing w:val="0"/>
          <w:sz w:val="32"/>
          <w:szCs w:val="32"/>
          <w:lang w:eastAsia="zh-CN"/>
        </w:rPr>
        <w:t>盘江·未来中心项目）</w:t>
      </w:r>
      <w:r>
        <w:rPr>
          <w:rFonts w:ascii="Times New Roman" w:hAnsi="Times New Roman" w:cs="Times New Roman"/>
          <w:b/>
          <w:color w:val="000000"/>
          <w:sz w:val="32"/>
          <w:szCs w:val="32"/>
        </w:rPr>
        <w:t>竣工环境保护</w:t>
      </w:r>
      <w:r>
        <w:rPr>
          <w:rFonts w:hint="eastAsia" w:ascii="Times New Roman" w:hAnsi="Times New Roman" w:cs="Times New Roman"/>
          <w:b/>
          <w:color w:val="000000"/>
          <w:sz w:val="32"/>
          <w:szCs w:val="32"/>
          <w:lang w:eastAsia="zh-CN"/>
        </w:rPr>
        <w:t>阶段性现状</w:t>
      </w:r>
      <w:r>
        <w:rPr>
          <w:rFonts w:ascii="Times New Roman" w:hAnsi="Times New Roman" w:cs="Times New Roman"/>
          <w:b/>
          <w:color w:val="000000"/>
          <w:sz w:val="32"/>
          <w:szCs w:val="32"/>
        </w:rPr>
        <w:t>验收意见</w:t>
      </w:r>
    </w:p>
    <w:p>
      <w:pPr>
        <w:pStyle w:val="14"/>
        <w:keepNext w:val="0"/>
        <w:keepLines w:val="0"/>
        <w:pageBreakBefore w:val="0"/>
        <w:widowControl w:val="0"/>
        <w:kinsoku/>
        <w:wordWrap/>
        <w:overflowPunct/>
        <w:topLinePunct w:val="0"/>
        <w:bidi w:val="0"/>
        <w:snapToGrid/>
        <w:spacing w:line="360" w:lineRule="auto"/>
        <w:ind w:firstLine="560"/>
        <w:jc w:val="left"/>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2020年7月9日</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贵阳盘江置业有限公司</w:t>
      </w:r>
      <w:r>
        <w:rPr>
          <w:rFonts w:hint="eastAsia" w:ascii="Times New Roman" w:hAnsi="Times New Roman" w:eastAsia="仿宋" w:cs="Times New Roman"/>
          <w:sz w:val="28"/>
          <w:szCs w:val="28"/>
        </w:rPr>
        <w:t>根据</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银海元隆·熙府项目（原贵阳盘江置业有限公司盘江·未来中心项目）</w:t>
      </w:r>
      <w:r>
        <w:rPr>
          <w:rFonts w:ascii="Times New Roman" w:hAnsi="Times New Roman" w:eastAsia="仿宋" w:cs="Times New Roman"/>
          <w:sz w:val="28"/>
          <w:szCs w:val="28"/>
        </w:rPr>
        <w:t>竣工环境保护</w:t>
      </w:r>
      <w:r>
        <w:rPr>
          <w:rFonts w:hint="eastAsia" w:ascii="Times New Roman" w:hAnsi="Times New Roman" w:eastAsia="仿宋" w:cs="Times New Roman"/>
          <w:sz w:val="28"/>
          <w:szCs w:val="28"/>
        </w:rPr>
        <w:t>验收监测报告表》并对照《建设项目环境保护验收暂行办法》，依照国家有关法律法规、建设项目竣工环境保护验收技术规范（污染影响类）、本项目环境影响报告表和</w:t>
      </w:r>
      <w:r>
        <w:rPr>
          <w:rFonts w:hint="eastAsia" w:ascii="Times New Roman" w:hAnsi="Times New Roman" w:eastAsia="仿宋" w:cs="Times New Roman"/>
          <w:sz w:val="28"/>
          <w:szCs w:val="28"/>
          <w:lang w:eastAsia="zh-CN"/>
        </w:rPr>
        <w:t>贵阳市环境保护局审批意见</w:t>
      </w:r>
      <w:r>
        <w:rPr>
          <w:rFonts w:hint="eastAsia" w:ascii="Times New Roman" w:hAnsi="Times New Roman" w:eastAsia="仿宋" w:cs="Times New Roman"/>
          <w:sz w:val="28"/>
          <w:szCs w:val="28"/>
        </w:rPr>
        <w:t>等要求对本项目进行</w:t>
      </w:r>
      <w:r>
        <w:rPr>
          <w:rFonts w:hint="eastAsia" w:ascii="Times New Roman" w:hAnsi="Times New Roman" w:eastAsia="仿宋" w:cs="Times New Roman"/>
          <w:sz w:val="28"/>
          <w:szCs w:val="28"/>
          <w:lang w:eastAsia="zh-CN"/>
        </w:rPr>
        <w:t>阶段性现状</w:t>
      </w:r>
      <w:r>
        <w:rPr>
          <w:rFonts w:hint="eastAsia" w:ascii="Times New Roman" w:hAnsi="Times New Roman" w:eastAsia="仿宋" w:cs="Times New Roman"/>
          <w:sz w:val="28"/>
          <w:szCs w:val="28"/>
        </w:rPr>
        <w:t>验收，提出意见如下：</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1、建设地点、规模、主要建设内容</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本项目位于贵阳</w:t>
      </w:r>
      <w:r>
        <w:rPr>
          <w:rFonts w:hint="eastAsia" w:ascii="Times New Roman" w:hAnsi="Times New Roman" w:eastAsia="仿宋" w:cs="Times New Roman"/>
          <w:sz w:val="28"/>
          <w:szCs w:val="28"/>
          <w:lang w:eastAsia="zh-CN"/>
        </w:rPr>
        <w:t>市</w:t>
      </w:r>
      <w:r>
        <w:rPr>
          <w:rFonts w:hint="eastAsia" w:ascii="Times New Roman" w:hAnsi="Times New Roman" w:eastAsia="仿宋" w:cs="Times New Roman"/>
          <w:sz w:val="28"/>
          <w:szCs w:val="28"/>
        </w:rPr>
        <w:t>观山湖区云潭南路西侧</w:t>
      </w:r>
      <w:r>
        <w:rPr>
          <w:rFonts w:hint="eastAsia" w:ascii="Times New Roman" w:hAnsi="Times New Roman" w:eastAsia="仿宋" w:cs="Times New Roman"/>
          <w:sz w:val="28"/>
          <w:szCs w:val="28"/>
          <w:lang w:eastAsia="zh-CN"/>
        </w:rPr>
        <w:t>。项目占地面积96830.00m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，总建筑面积为466616.61m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，目前已建成建筑面积为149694.46m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，主要为商业、酒店、办公及相关配套设施。</w:t>
      </w:r>
      <w:r>
        <w:rPr>
          <w:rFonts w:hint="eastAsia" w:ascii="Times New Roman" w:hAnsi="Times New Roman" w:eastAsia="仿宋" w:cs="Times New Roman"/>
          <w:sz w:val="28"/>
          <w:szCs w:val="28"/>
        </w:rPr>
        <w:t>主要建设内容为花园洋房、高层住宅、公寓、酒店、幼儿园、商业及配套设施</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公用工程、环保工程等。</w:t>
      </w:r>
      <w:r>
        <w:rPr>
          <w:rFonts w:hint="eastAsia" w:ascii="Times New Roman" w:hAnsi="Times New Roman" w:eastAsia="仿宋" w:cs="Times New Roman"/>
          <w:sz w:val="28"/>
          <w:szCs w:val="28"/>
          <w:lang w:eastAsia="zh-CN"/>
        </w:rPr>
        <w:t>已建成部分为商业楼B#（2F）、商业楼C#（2F）、商业楼D#（2F）、住宅楼</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~11#（-3+6F）、住宅楼1</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18#（-1+架空+21F）、幼儿园F#（1F）等。商务公寓E#（-1F+20F）、商业楼1#（2F）、商务公寓D#（-2F+16F）、商务公寓C#（-2F+16F）、商务公寓B#（-2F+16F）、酒店/办公楼A#（-3F+8F）、商业楼A#（2F）、西侧商业及物业（1F）、东侧商业（2F）等均未建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2、建设过程及环保审批情况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2017年</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月，广州环发环保工程有限公司编制完成《</w:t>
      </w:r>
      <w:r>
        <w:rPr>
          <w:rFonts w:hint="eastAsia" w:ascii="Times New Roman" w:hAnsi="Times New Roman" w:eastAsia="仿宋" w:cs="Times New Roman"/>
          <w:sz w:val="28"/>
          <w:szCs w:val="28"/>
          <w:lang w:eastAsia="zh-CN"/>
        </w:rPr>
        <w:t>银海元隆·熙府项目（原贵阳盘江置业有限公司盘江·未来中心项目</w:t>
      </w:r>
      <w:r>
        <w:rPr>
          <w:rFonts w:hint="eastAsia" w:ascii="Times New Roman" w:hAnsi="Times New Roman" w:eastAsia="仿宋" w:cs="Times New Roman"/>
          <w:sz w:val="28"/>
          <w:szCs w:val="28"/>
        </w:rPr>
        <w:t>环境影响报告表》。 201</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贵阳市环境保护局</w:t>
      </w:r>
      <w:r>
        <w:rPr>
          <w:rFonts w:hint="eastAsia" w:ascii="Times New Roman" w:hAnsi="Times New Roman" w:eastAsia="仿宋" w:cs="Times New Roman"/>
          <w:sz w:val="28"/>
          <w:szCs w:val="28"/>
        </w:rPr>
        <w:t>以筑环表</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2017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78号文对该报告表予以批复。</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w:t>
      </w:r>
      <w:r>
        <w:rPr>
          <w:rFonts w:hint="eastAsia" w:ascii="Times New Roman" w:hAnsi="Times New Roman" w:eastAsia="仿宋" w:cs="Times New Roman"/>
          <w:sz w:val="28"/>
          <w:szCs w:val="28"/>
          <w:lang w:val="en-US" w:eastAsia="zh-CN"/>
        </w:rPr>
        <w:t>于2017年9月开工建设，目前已部分</w:t>
      </w:r>
      <w:r>
        <w:rPr>
          <w:rFonts w:hint="eastAsia" w:ascii="Times New Roman" w:hAnsi="Times New Roman" w:eastAsia="仿宋" w:cs="Times New Roman"/>
          <w:sz w:val="28"/>
          <w:szCs w:val="28"/>
        </w:rPr>
        <w:t>建成。</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3、投资情况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w:t>
      </w:r>
      <w:r>
        <w:rPr>
          <w:rFonts w:hint="eastAsia" w:ascii="Times New Roman" w:hAnsi="Times New Roman" w:eastAsia="仿宋" w:cs="Times New Roman"/>
          <w:sz w:val="28"/>
          <w:szCs w:val="28"/>
          <w:lang w:eastAsia="zh-CN"/>
        </w:rPr>
        <w:t>已建部分</w:t>
      </w:r>
      <w:r>
        <w:rPr>
          <w:rFonts w:hint="eastAsia" w:ascii="Times New Roman" w:hAnsi="Times New Roman" w:eastAsia="仿宋" w:cs="Times New Roman"/>
          <w:sz w:val="28"/>
          <w:szCs w:val="28"/>
        </w:rPr>
        <w:t>投资20516万元，其中环保投资约588万元。</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4、验收范围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本项目已建</w:t>
      </w:r>
      <w:r>
        <w:rPr>
          <w:rFonts w:hint="eastAsia" w:ascii="Times New Roman" w:hAnsi="Times New Roman" w:eastAsia="仿宋" w:cs="Times New Roman"/>
          <w:sz w:val="28"/>
          <w:szCs w:val="28"/>
          <w:lang w:eastAsia="zh-CN"/>
        </w:rPr>
        <w:t>成</w:t>
      </w:r>
      <w:r>
        <w:rPr>
          <w:rFonts w:hint="eastAsia" w:ascii="Times New Roman" w:hAnsi="Times New Roman" w:eastAsia="仿宋" w:cs="Times New Roman"/>
          <w:sz w:val="28"/>
          <w:szCs w:val="28"/>
        </w:rPr>
        <w:t>部分</w:t>
      </w:r>
      <w:r>
        <w:rPr>
          <w:rFonts w:hint="eastAsia" w:ascii="Times New Roman" w:hAnsi="Times New Roman" w:eastAsia="仿宋" w:cs="Times New Roman"/>
          <w:sz w:val="28"/>
          <w:szCs w:val="28"/>
          <w:lang w:eastAsia="zh-CN"/>
        </w:rPr>
        <w:t>（建筑面积149694.46m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）（幼儿园实际未运营）。</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本项目已建成部分（建筑面积</w:t>
      </w:r>
      <w:r>
        <w:rPr>
          <w:rFonts w:hint="default" w:ascii="Times New Roman" w:hAnsi="Times New Roman" w:eastAsia="仿宋" w:cs="Times New Roman"/>
          <w:kern w:val="0"/>
          <w:sz w:val="28"/>
          <w:szCs w:val="28"/>
        </w:rPr>
        <w:t>149694.46m</w:t>
      </w:r>
      <w:r>
        <w:rPr>
          <w:rFonts w:hint="default" w:ascii="Times New Roman" w:hAnsi="Times New Roman" w:eastAsia="仿宋" w:cs="Times New Roman"/>
          <w:kern w:val="0"/>
          <w:sz w:val="28"/>
          <w:szCs w:val="28"/>
          <w:vertAlign w:val="superscript"/>
        </w:rPr>
        <w:t>2</w:t>
      </w:r>
      <w:r>
        <w:rPr>
          <w:rFonts w:hint="default" w:ascii="Times New Roman" w:hAnsi="Times New Roman" w:eastAsia="仿宋" w:cs="Times New Roman"/>
          <w:kern w:val="0"/>
          <w:sz w:val="28"/>
          <w:szCs w:val="28"/>
        </w:rPr>
        <w:t>）</w:t>
      </w:r>
      <w:r>
        <w:rPr>
          <w:rFonts w:hint="eastAsia" w:ascii="仿宋" w:hAnsi="仿宋" w:eastAsia="仿宋" w:cs="仿宋"/>
          <w:kern w:val="0"/>
          <w:sz w:val="28"/>
          <w:szCs w:val="28"/>
        </w:rPr>
        <w:t>工程无</w:t>
      </w:r>
      <w:r>
        <w:rPr>
          <w:rFonts w:hint="eastAsia" w:ascii="仿宋" w:hAnsi="仿宋" w:eastAsia="仿宋" w:cs="仿宋"/>
          <w:kern w:val="0"/>
          <w:sz w:val="28"/>
          <w:szCs w:val="28"/>
          <w:lang w:eastAsia="zh-CN"/>
        </w:rPr>
        <w:t>重大</w:t>
      </w:r>
      <w:r>
        <w:rPr>
          <w:rFonts w:hint="eastAsia" w:ascii="仿宋" w:hAnsi="仿宋" w:eastAsia="仿宋" w:cs="仿宋"/>
          <w:kern w:val="0"/>
          <w:sz w:val="28"/>
          <w:szCs w:val="28"/>
        </w:rPr>
        <w:t>变动。</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三、环保设施</w:t>
      </w:r>
      <w:r>
        <w:rPr>
          <w:rFonts w:hint="eastAsia" w:ascii="Times New Roman" w:hAnsi="Times New Roman" w:eastAsia="仿宋" w:cs="Times New Roman"/>
          <w:b/>
          <w:bCs/>
          <w:sz w:val="28"/>
          <w:szCs w:val="28"/>
        </w:rPr>
        <w:t>及措施</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废水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已建部分</w:t>
      </w:r>
      <w:r>
        <w:rPr>
          <w:rFonts w:hint="eastAsia" w:ascii="Times New Roman" w:hAnsi="Times New Roman" w:eastAsia="仿宋" w:cs="Times New Roman"/>
          <w:sz w:val="28"/>
          <w:szCs w:val="28"/>
        </w:rPr>
        <w:t>未建农贸市场、社区卫生服务站、资源再生回收站</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中水处理站</w:t>
      </w:r>
      <w:r>
        <w:rPr>
          <w:rFonts w:hint="eastAsia" w:ascii="Times New Roman" w:hAnsi="Times New Roman" w:eastAsia="仿宋" w:cs="Times New Roman"/>
          <w:sz w:val="28"/>
          <w:szCs w:val="28"/>
          <w:lang w:eastAsia="zh-CN"/>
        </w:rPr>
        <w:t>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生活污水经化粪池处理后通过市政污水管道进入金阳污水处理厂处理。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产生餐饮废水须经隔油池处理后与生活污水一同排入市政污水管网。</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2、废气</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已建部分未建农贸市场、社区卫生服务站、资源再生回收站、中水处理站等。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居民厨房油烟经油烟</w:t>
      </w:r>
      <w:r>
        <w:rPr>
          <w:rFonts w:hint="eastAsia" w:ascii="Times New Roman" w:hAnsi="Times New Roman" w:eastAsia="仿宋" w:cs="Times New Roman"/>
          <w:sz w:val="28"/>
          <w:szCs w:val="28"/>
          <w:lang w:eastAsia="zh-CN"/>
        </w:rPr>
        <w:t>机由</w:t>
      </w:r>
      <w:r>
        <w:rPr>
          <w:rFonts w:hint="eastAsia" w:ascii="Times New Roman" w:hAnsi="Times New Roman" w:eastAsia="仿宋" w:cs="Times New Roman"/>
          <w:sz w:val="28"/>
          <w:szCs w:val="28"/>
        </w:rPr>
        <w:t>专用排气通道至楼顶排放</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地下车库设排气系统，绿地设置排气口。</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商业和餐馆油烟、应急发电机废气产生须按相应环保要求配套环保设施。</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3、噪声</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设备</w:t>
      </w:r>
      <w:r>
        <w:rPr>
          <w:rFonts w:hint="eastAsia" w:ascii="Times New Roman" w:hAnsi="Times New Roman" w:eastAsia="仿宋" w:cs="Times New Roman"/>
          <w:sz w:val="28"/>
          <w:szCs w:val="28"/>
        </w:rPr>
        <w:t>设置专用间</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设备</w:t>
      </w:r>
      <w:r>
        <w:rPr>
          <w:rFonts w:hint="eastAsia" w:ascii="Times New Roman" w:hAnsi="Times New Roman" w:eastAsia="仿宋" w:cs="Times New Roman"/>
          <w:sz w:val="28"/>
          <w:szCs w:val="28"/>
        </w:rPr>
        <w:t>减振</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安装双层玻璃</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种植高大树种。</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4、固体废物</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居民</w:t>
      </w:r>
      <w:r>
        <w:rPr>
          <w:rFonts w:hint="eastAsia" w:ascii="Times New Roman" w:hAnsi="Times New Roman" w:eastAsia="仿宋" w:cs="Times New Roman"/>
          <w:sz w:val="28"/>
          <w:szCs w:val="28"/>
          <w:lang w:eastAsia="zh-CN"/>
        </w:rPr>
        <w:t>生活</w:t>
      </w:r>
      <w:r>
        <w:rPr>
          <w:rFonts w:hint="eastAsia" w:ascii="Times New Roman" w:hAnsi="Times New Roman" w:eastAsia="仿宋" w:cs="Times New Roman"/>
          <w:sz w:val="28"/>
          <w:szCs w:val="28"/>
        </w:rPr>
        <w:t>垃圾及商业垃圾、员工垃圾分类收集交环卫</w:t>
      </w:r>
      <w:r>
        <w:rPr>
          <w:rFonts w:hint="eastAsia" w:ascii="Times New Roman" w:hAnsi="Times New Roman" w:eastAsia="仿宋" w:cs="Times New Roman"/>
          <w:sz w:val="28"/>
          <w:szCs w:val="28"/>
          <w:lang w:eastAsia="zh-CN"/>
        </w:rPr>
        <w:t>部门</w:t>
      </w:r>
      <w:r>
        <w:rPr>
          <w:rFonts w:hint="eastAsia" w:ascii="Times New Roman" w:hAnsi="Times New Roman" w:eastAsia="仿宋" w:cs="Times New Roman"/>
          <w:sz w:val="28"/>
          <w:szCs w:val="28"/>
        </w:rPr>
        <w:t>清运</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餐饮企业入驻后产生的餐饮垃圾集中收集后</w:t>
      </w:r>
      <w:r>
        <w:rPr>
          <w:rFonts w:hint="eastAsia" w:ascii="Times New Roman" w:hAnsi="Times New Roman" w:eastAsia="仿宋" w:cs="Times New Roman"/>
          <w:sz w:val="28"/>
          <w:szCs w:val="28"/>
          <w:lang w:eastAsia="zh-CN"/>
        </w:rPr>
        <w:t>按相关要求处理。</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四、</w:t>
      </w:r>
      <w:r>
        <w:rPr>
          <w:rFonts w:hint="eastAsia" w:ascii="Times New Roman" w:hAnsi="Times New Roman" w:eastAsia="仿宋" w:cs="Times New Roman"/>
          <w:b/>
          <w:bCs/>
          <w:sz w:val="28"/>
          <w:szCs w:val="28"/>
          <w:lang w:eastAsia="zh-CN"/>
        </w:rPr>
        <w:t>环保设施调试效果</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根据贵州伍洲同创检测科技有限公司2020年6月8日至2020年6月</w:t>
      </w: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rPr>
        <w:t>日现场监测结果：</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1、生产工况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本项目验收监测期间，环保设施运行正常，基本满足验收监测要求。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废水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化粪池总排口pH</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悬浮物</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五日生化需氧量</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化学需氧量</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阴离子表面活性剂</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动植物油</w:t>
      </w:r>
      <w:r>
        <w:rPr>
          <w:rFonts w:hint="eastAsia" w:ascii="Times New Roman" w:hAnsi="Times New Roman" w:eastAsia="仿宋" w:cs="Times New Roman"/>
          <w:sz w:val="28"/>
          <w:szCs w:val="28"/>
          <w:lang w:val="en-US" w:eastAsia="zh-CN"/>
        </w:rPr>
        <w:t>等监测结果满足《污水综合排放标准》（GB8978-1996）表4三级标准要求。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废气</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无组织排放</w:t>
      </w:r>
      <w:r>
        <w:rPr>
          <w:rFonts w:hint="eastAsia" w:ascii="Times New Roman" w:hAnsi="Times New Roman" w:eastAsia="仿宋" w:cs="Times New Roman"/>
          <w:sz w:val="28"/>
          <w:szCs w:val="28"/>
          <w:lang w:eastAsia="zh-CN"/>
        </w:rPr>
        <w:t>非甲烷总烃、</w:t>
      </w:r>
      <w:r>
        <w:rPr>
          <w:rFonts w:hint="eastAsia" w:ascii="Times New Roman" w:hAnsi="Times New Roman" w:eastAsia="仿宋" w:cs="Times New Roman"/>
          <w:sz w:val="28"/>
          <w:szCs w:val="28"/>
        </w:rPr>
        <w:t>氮氧化物浓度监测结果均满足《大气污染物综合排放标准》（GBl6297-1996）表2无组织排放监控浓度限值要求。臭气浓度</w:t>
      </w:r>
      <w:r>
        <w:rPr>
          <w:rFonts w:hint="eastAsia" w:ascii="Times New Roman" w:hAnsi="Times New Roman" w:eastAsia="仿宋" w:cs="Times New Roman"/>
          <w:sz w:val="28"/>
          <w:szCs w:val="28"/>
          <w:lang w:eastAsia="zh-CN"/>
        </w:rPr>
        <w:t>监测结果满足</w:t>
      </w:r>
      <w:r>
        <w:rPr>
          <w:rFonts w:hint="eastAsia" w:ascii="Times New Roman" w:hAnsi="Times New Roman" w:eastAsia="仿宋" w:cs="Times New Roman"/>
          <w:sz w:val="28"/>
          <w:szCs w:val="28"/>
        </w:rPr>
        <w:t>《恶臭污染物排放标准》（GB14554-93）表1恶臭污染物标准</w:t>
      </w:r>
      <w:r>
        <w:rPr>
          <w:rFonts w:hint="eastAsia" w:ascii="Times New Roman" w:hAnsi="Times New Roman" w:eastAsia="仿宋" w:cs="Times New Roman"/>
          <w:sz w:val="28"/>
          <w:szCs w:val="28"/>
          <w:lang w:eastAsia="zh-CN"/>
        </w:rPr>
        <w:t>限值要求</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、噪声</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场界各监测点昼、夜间噪声监测值均符合《社会生活环境噪声排放标准》（GB22337-2008）2类区</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4类区</w:t>
      </w:r>
      <w:r>
        <w:rPr>
          <w:rFonts w:hint="eastAsia" w:ascii="Times New Roman" w:hAnsi="Times New Roman" w:eastAsia="仿宋" w:cs="Times New Roman"/>
          <w:sz w:val="28"/>
          <w:szCs w:val="28"/>
        </w:rPr>
        <w:t>标准要求。</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五、工程建设对环境的影响</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项目已建成部分（建筑面积149694.46m</w:t>
      </w:r>
      <w:r>
        <w:rPr>
          <w:rFonts w:hint="eastAsia" w:ascii="Times New Roman" w:hAnsi="Times New Roman" w:eastAsia="仿宋" w:cs="Times New Roman"/>
          <w:sz w:val="28"/>
          <w:szCs w:val="28"/>
          <w:vertAlign w:val="superscript"/>
        </w:rPr>
        <w:t>2</w:t>
      </w:r>
      <w:r>
        <w:rPr>
          <w:rFonts w:hint="eastAsia" w:ascii="Times New Roman" w:hAnsi="Times New Roman" w:eastAsia="仿宋" w:cs="Times New Roman"/>
          <w:sz w:val="28"/>
          <w:szCs w:val="28"/>
        </w:rPr>
        <w:t>）排放的废气、噪声符合国家有关环保标准限值要求，废水、固体废物处理符合相关要求，对环境影响</w:t>
      </w:r>
      <w:r>
        <w:rPr>
          <w:rFonts w:hint="eastAsia" w:ascii="Times New Roman" w:hAnsi="Times New Roman" w:eastAsia="仿宋" w:cs="Times New Roman"/>
          <w:sz w:val="28"/>
          <w:szCs w:val="28"/>
          <w:lang w:val="en-US" w:eastAsia="zh-CN"/>
        </w:rPr>
        <w:t>不大</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六、验收结论</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项目环保审批手续齐全，项目已建成部分（建筑面积149694.46m</w:t>
      </w:r>
      <w:r>
        <w:rPr>
          <w:rFonts w:hint="eastAsia" w:ascii="Times New Roman" w:hAnsi="Times New Roman" w:eastAsia="仿宋" w:cs="Times New Roman"/>
          <w:sz w:val="28"/>
          <w:szCs w:val="28"/>
          <w:vertAlign w:val="superscript"/>
        </w:rPr>
        <w:t>2</w:t>
      </w:r>
      <w:r>
        <w:rPr>
          <w:rFonts w:hint="eastAsia" w:ascii="Times New Roman" w:hAnsi="Times New Roman" w:eastAsia="仿宋" w:cs="Times New Roman"/>
          <w:sz w:val="28"/>
          <w:szCs w:val="28"/>
        </w:rPr>
        <w:t>）环保设施基本满足其相应主体工程需要，总体满足环评及批复要求，基本符合竣工环保验收条件，项目阶段性现状验收合格。</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七、后续要求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1、项目目前为阶段性现状验收，幼儿园运营</w:t>
      </w:r>
      <w:r>
        <w:rPr>
          <w:rFonts w:hint="eastAsia" w:ascii="Times New Roman" w:hAnsi="Times New Roman" w:eastAsia="仿宋" w:cs="Times New Roman"/>
          <w:sz w:val="28"/>
          <w:szCs w:val="28"/>
          <w:lang w:eastAsia="zh-CN"/>
        </w:rPr>
        <w:t>前须落实相关环保设施，</w:t>
      </w:r>
      <w:bookmarkStart w:id="0" w:name="_GoBack"/>
      <w:bookmarkEnd w:id="0"/>
      <w:r>
        <w:rPr>
          <w:rFonts w:hint="eastAsia" w:ascii="Times New Roman" w:hAnsi="Times New Roman" w:eastAsia="仿宋" w:cs="Times New Roman"/>
          <w:sz w:val="28"/>
          <w:szCs w:val="28"/>
        </w:rPr>
        <w:t>项目后期实施过程中应严格按照环评及批复要求落实相关环保设施，若发生变更须按相关管理要求报备。</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2、按</w:t>
      </w:r>
      <w:r>
        <w:rPr>
          <w:rFonts w:hint="eastAsia" w:ascii="Times New Roman" w:hAnsi="Times New Roman" w:eastAsia="仿宋" w:cs="Times New Roman"/>
          <w:sz w:val="28"/>
          <w:szCs w:val="28"/>
        </w:rPr>
        <w:t>建设项目竣工环境保护验收技术规范（污染影响类）</w:t>
      </w:r>
      <w:r>
        <w:rPr>
          <w:rFonts w:hint="eastAsia" w:ascii="Times New Roman" w:hAnsi="Times New Roman" w:eastAsia="仿宋" w:cs="Times New Roman"/>
          <w:sz w:val="28"/>
          <w:szCs w:val="28"/>
          <w:lang w:val="en-US" w:eastAsia="zh-CN"/>
        </w:rPr>
        <w:t>相关要求</w:t>
      </w:r>
      <w:r>
        <w:rPr>
          <w:rFonts w:hint="eastAsia" w:ascii="Times New Roman" w:hAnsi="Times New Roman" w:eastAsia="仿宋" w:cs="Times New Roman"/>
          <w:sz w:val="28"/>
          <w:szCs w:val="28"/>
        </w:rPr>
        <w:t>完善验收监测报告表</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规范文本</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、加强项目环保管理工作，完善环境保护管理规章制度。</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4、加强化粪池、地下车库排气系统、固废收运等运行管理和日常维护。</w:t>
      </w:r>
    </w:p>
    <w:p>
      <w:pPr>
        <w:keepNext w:val="0"/>
        <w:keepLines w:val="0"/>
        <w:pageBreakBefore w:val="0"/>
        <w:widowControl w:val="0"/>
        <w:kinsoku/>
        <w:wordWrap/>
        <w:overflowPunct/>
        <w:topLinePunct w:val="0"/>
        <w:bidi w:val="0"/>
        <w:adjustRightInd w:val="0"/>
        <w:snapToGrid/>
        <w:spacing w:line="360" w:lineRule="auto"/>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八、验收人员信息</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参加验收的单位及人员信息见验收签到表。</w:t>
      </w: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r>
        <w:rPr>
          <w:rFonts w:ascii="Times New Roman" w:hAnsi="Times New Roman" w:eastAsia="仿宋" w:cs="Times New Roman"/>
          <w:sz w:val="28"/>
          <w:szCs w:val="28"/>
        </w:rPr>
        <w:t> </w:t>
      </w:r>
      <w:r>
        <w:rPr>
          <w:rFonts w:hint="eastAsia" w:ascii="Times New Roman" w:hAnsi="Times New Roman" w:eastAsia="仿宋" w:cs="Times New Roman"/>
          <w:sz w:val="28"/>
          <w:szCs w:val="28"/>
        </w:rPr>
        <w:t xml:space="preserve">          </w:t>
      </w: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rPr>
      </w:pPr>
    </w:p>
    <w:p>
      <w:pPr>
        <w:pStyle w:val="2"/>
        <w:keepNext w:val="0"/>
        <w:keepLines w:val="0"/>
        <w:pageBreakBefore w:val="0"/>
        <w:widowControl w:val="0"/>
        <w:kinsoku/>
        <w:wordWrap/>
        <w:overflowPunct/>
        <w:topLinePunct w:val="0"/>
        <w:bidi w:val="0"/>
        <w:snapToGrid/>
        <w:spacing w:line="360" w:lineRule="auto"/>
        <w:ind w:firstLine="4480" w:firstLineChars="16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贵阳盘江置业有限公司</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2020年7月9日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58"/>
    <w:rsid w:val="001A3F45"/>
    <w:rsid w:val="005A4358"/>
    <w:rsid w:val="00AA5DDA"/>
    <w:rsid w:val="00E445D9"/>
    <w:rsid w:val="08976283"/>
    <w:rsid w:val="0DB90E96"/>
    <w:rsid w:val="10E00F4F"/>
    <w:rsid w:val="16C134DF"/>
    <w:rsid w:val="18DA1D5A"/>
    <w:rsid w:val="18EE4CCC"/>
    <w:rsid w:val="19151D9C"/>
    <w:rsid w:val="1AE541D3"/>
    <w:rsid w:val="1C537F04"/>
    <w:rsid w:val="1E214929"/>
    <w:rsid w:val="21C7543A"/>
    <w:rsid w:val="25691641"/>
    <w:rsid w:val="26F57222"/>
    <w:rsid w:val="2954357F"/>
    <w:rsid w:val="2A0B7787"/>
    <w:rsid w:val="2B9E1324"/>
    <w:rsid w:val="2BED028B"/>
    <w:rsid w:val="2C9E15F0"/>
    <w:rsid w:val="35270E6F"/>
    <w:rsid w:val="35C0604B"/>
    <w:rsid w:val="35E304E4"/>
    <w:rsid w:val="36DD288C"/>
    <w:rsid w:val="40DA55A5"/>
    <w:rsid w:val="4D815B75"/>
    <w:rsid w:val="5604305E"/>
    <w:rsid w:val="570D070B"/>
    <w:rsid w:val="59D5109E"/>
    <w:rsid w:val="5C1724A8"/>
    <w:rsid w:val="5F1137A3"/>
    <w:rsid w:val="63CC3E2B"/>
    <w:rsid w:val="6A6B1AD0"/>
    <w:rsid w:val="71035A64"/>
    <w:rsid w:val="7A8B366E"/>
    <w:rsid w:val="7E2B3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eastAsia="黑体"/>
      <w:b/>
      <w:bCs/>
      <w:kern w:val="44"/>
      <w:sz w:val="28"/>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link w:val="22"/>
    <w:qFormat/>
    <w:uiPriority w:val="99"/>
    <w:pPr>
      <w:spacing w:after="120"/>
    </w:pPr>
  </w:style>
  <w:style w:type="paragraph" w:styleId="5">
    <w:name w:val="Body Text Indent"/>
    <w:basedOn w:val="1"/>
    <w:qFormat/>
    <w:uiPriority w:val="0"/>
    <w:pPr>
      <w:spacing w:after="120"/>
      <w:ind w:left="420" w:leftChars="200"/>
    </w:pPr>
  </w:style>
  <w:style w:type="paragraph" w:styleId="6">
    <w:name w:val="Date"/>
    <w:basedOn w:val="1"/>
    <w:next w:val="1"/>
    <w:link w:val="16"/>
    <w:qFormat/>
    <w:uiPriority w:val="99"/>
    <w:pPr>
      <w:ind w:left="100" w:leftChars="2500"/>
    </w:pPr>
  </w:style>
  <w:style w:type="paragraph" w:styleId="7">
    <w:name w:val="Balloon Text"/>
    <w:basedOn w:val="1"/>
    <w:link w:val="20"/>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szCs w:val="20"/>
    </w:rPr>
  </w:style>
  <w:style w:type="paragraph" w:styleId="11">
    <w:name w:val="Body Text First Indent"/>
    <w:basedOn w:val="4"/>
    <w:link w:val="23"/>
    <w:qFormat/>
    <w:uiPriority w:val="0"/>
    <w:pPr>
      <w:ind w:firstLine="420" w:firstLineChars="100"/>
    </w:pPr>
    <w:rPr>
      <w:rFonts w:ascii="Times New Roman" w:hAnsi="Times New Roman" w:cs="Times New Roman"/>
      <w:szCs w:val="20"/>
    </w:rPr>
  </w:style>
  <w:style w:type="paragraph" w:customStyle="1" w:styleId="14">
    <w:name w:val="文本样式"/>
    <w:basedOn w:val="1"/>
    <w:qFormat/>
    <w:uiPriority w:val="99"/>
    <w:pPr>
      <w:spacing w:line="360" w:lineRule="auto"/>
      <w:ind w:firstLine="200" w:firstLineChars="200"/>
    </w:pPr>
    <w:rPr>
      <w:sz w:val="24"/>
      <w:szCs w:val="24"/>
    </w:rPr>
  </w:style>
  <w:style w:type="character" w:customStyle="1" w:styleId="15">
    <w:name w:val="不明显强调1"/>
    <w:basedOn w:val="13"/>
    <w:qFormat/>
    <w:uiPriority w:val="19"/>
    <w:rPr>
      <w:i/>
      <w:iCs/>
      <w:color w:val="7F7F7F"/>
    </w:rPr>
  </w:style>
  <w:style w:type="character" w:customStyle="1" w:styleId="16">
    <w:name w:val="日期 字符"/>
    <w:basedOn w:val="13"/>
    <w:link w:val="6"/>
    <w:qFormat/>
    <w:uiPriority w:val="99"/>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不明显强调2"/>
    <w:basedOn w:val="13"/>
    <w:qFormat/>
    <w:uiPriority w:val="19"/>
    <w:rPr>
      <w:i/>
      <w:iCs/>
      <w:color w:val="7F7F7F"/>
    </w:rPr>
  </w:style>
  <w:style w:type="character" w:customStyle="1" w:styleId="20">
    <w:name w:val="批注框文本 字符"/>
    <w:basedOn w:val="13"/>
    <w:link w:val="7"/>
    <w:qFormat/>
    <w:uiPriority w:val="99"/>
    <w:rPr>
      <w:kern w:val="2"/>
      <w:sz w:val="18"/>
      <w:szCs w:val="18"/>
    </w:rPr>
  </w:style>
  <w:style w:type="paragraph" w:customStyle="1" w:styleId="21">
    <w:name w:val="样式 文本正文 + (符号) Times New Roman"/>
    <w:basedOn w:val="1"/>
    <w:qFormat/>
    <w:uiPriority w:val="0"/>
    <w:pPr>
      <w:spacing w:line="360" w:lineRule="auto"/>
      <w:ind w:firstLine="200" w:firstLineChars="200"/>
    </w:pPr>
    <w:rPr>
      <w:rFonts w:ascii="Times New Roman" w:hAnsi="宋体" w:cs="Times New Roman"/>
      <w:sz w:val="24"/>
      <w:szCs w:val="21"/>
    </w:rPr>
  </w:style>
  <w:style w:type="character" w:customStyle="1" w:styleId="22">
    <w:name w:val="正文文本 字符"/>
    <w:basedOn w:val="13"/>
    <w:link w:val="4"/>
    <w:qFormat/>
    <w:uiPriority w:val="99"/>
    <w:rPr>
      <w:kern w:val="2"/>
      <w:sz w:val="21"/>
      <w:szCs w:val="22"/>
    </w:rPr>
  </w:style>
  <w:style w:type="character" w:customStyle="1" w:styleId="23">
    <w:name w:val="正文文本首行缩进 字符"/>
    <w:basedOn w:val="22"/>
    <w:link w:val="11"/>
    <w:qFormat/>
    <w:uiPriority w:val="0"/>
    <w:rPr>
      <w:rFonts w:ascii="Times New Roman" w:hAnsi="Times New Roman" w:eastAsia="宋体" w:cs="Times New Roman"/>
      <w:kern w:val="2"/>
      <w:sz w:val="21"/>
      <w:szCs w:val="22"/>
    </w:rPr>
  </w:style>
  <w:style w:type="character" w:customStyle="1" w:styleId="24">
    <w:name w:val="表格内容 Char Char"/>
    <w:link w:val="25"/>
    <w:qFormat/>
    <w:uiPriority w:val="0"/>
    <w:rPr>
      <w:rFonts w:ascii="宋体" w:hAnsi="宋体" w:eastAsia="宋体" w:cs="宋体"/>
      <w:iCs/>
      <w:kern w:val="2"/>
      <w:sz w:val="21"/>
      <w:szCs w:val="24"/>
    </w:rPr>
  </w:style>
  <w:style w:type="paragraph" w:customStyle="1" w:styleId="25">
    <w:name w:val="表格内容"/>
    <w:basedOn w:val="1"/>
    <w:link w:val="24"/>
    <w:qFormat/>
    <w:uiPriority w:val="0"/>
    <w:pPr>
      <w:spacing w:line="340" w:lineRule="exact"/>
      <w:jc w:val="center"/>
    </w:pPr>
    <w:rPr>
      <w:rFonts w:ascii="宋体" w:hAnsi="宋体"/>
      <w:iCs/>
      <w:szCs w:val="24"/>
    </w:rPr>
  </w:style>
  <w:style w:type="paragraph" w:customStyle="1" w:styleId="26">
    <w:name w:val="表格文字2"/>
    <w:basedOn w:val="1"/>
    <w:qFormat/>
    <w:uiPriority w:val="0"/>
    <w:pPr>
      <w:tabs>
        <w:tab w:val="left" w:pos="277"/>
        <w:tab w:val="left" w:pos="600"/>
        <w:tab w:val="left" w:pos="780"/>
        <w:tab w:val="left" w:pos="2517"/>
      </w:tabs>
      <w:adjustRightInd w:val="0"/>
      <w:spacing w:before="60"/>
    </w:pPr>
    <w:rPr>
      <w:rFonts w:ascii="Times New Roman" w:hAnsi="Times New Roman" w:cs="Times New Roman"/>
      <w:kern w:val="0"/>
      <w:szCs w:val="20"/>
    </w:rPr>
  </w:style>
  <w:style w:type="character" w:customStyle="1" w:styleId="27">
    <w:name w:val="4正文 Char Char"/>
    <w:link w:val="28"/>
    <w:qFormat/>
    <w:uiPriority w:val="0"/>
    <w:rPr>
      <w:rFonts w:ascii="宋体" w:hAnsi="宋体" w:eastAsia="宋体" w:cs="宋体"/>
      <w:kern w:val="2"/>
      <w:sz w:val="24"/>
    </w:rPr>
  </w:style>
  <w:style w:type="paragraph" w:customStyle="1" w:styleId="28">
    <w:name w:val="4正文"/>
    <w:basedOn w:val="1"/>
    <w:link w:val="27"/>
    <w:qFormat/>
    <w:uiPriority w:val="0"/>
    <w:pPr>
      <w:spacing w:line="360" w:lineRule="auto"/>
      <w:ind w:firstLine="480" w:firstLineChars="200"/>
    </w:pPr>
    <w:rPr>
      <w:rFonts w:ascii="宋体" w:hAnsi="宋体"/>
      <w:sz w:val="24"/>
      <w:szCs w:val="20"/>
    </w:rPr>
  </w:style>
  <w:style w:type="paragraph" w:customStyle="1" w:styleId="29">
    <w:name w:val="1正文段落"/>
    <w:basedOn w:val="1"/>
    <w:qFormat/>
    <w:uiPriority w:val="0"/>
    <w:pPr>
      <w:snapToGrid w:val="0"/>
      <w:spacing w:line="360" w:lineRule="auto"/>
      <w:ind w:firstLine="480" w:firstLineChars="200"/>
      <w:jc w:val="left"/>
    </w:pPr>
    <w:rPr>
      <w:rFonts w:ascii="Times New Roman" w:hAnsi="Times New Roman" w:cs="Times New Roman"/>
      <w:kern w:val="0"/>
      <w:sz w:val="24"/>
      <w:szCs w:val="24"/>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Words>
  <Characters>1587</Characters>
  <Lines>13</Lines>
  <Paragraphs>3</Paragraphs>
  <TotalTime>26</TotalTime>
  <ScaleCrop>false</ScaleCrop>
  <LinksUpToDate>false</LinksUpToDate>
  <CharactersWithSpaces>1862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2019-05-05T14:09:00Z</dcterms:created>
  <dc:creator>fxy</dc:creator>
  <cp:lastModifiedBy>55</cp:lastModifiedBy>
  <dcterms:modified xsi:type="dcterms:W3CDTF">2020-07-14T03:55:14Z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