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cs="Times New Roman"/>
          <w:b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spacing w:val="0"/>
          <w:sz w:val="32"/>
          <w:szCs w:val="32"/>
          <w:lang w:eastAsia="zh-CN"/>
        </w:rPr>
        <w:t>新型绿色建材（建筑）产业化生产基地建设项目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宋体" w:cs="Times New Roman"/>
          <w:b/>
          <w:spacing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000000"/>
          <w:spacing w:val="0"/>
          <w:sz w:val="32"/>
          <w:szCs w:val="32"/>
        </w:rPr>
        <w:t>竣工环境保护</w:t>
      </w:r>
      <w:r>
        <w:rPr>
          <w:rFonts w:hint="eastAsia" w:ascii="Times New Roman" w:hAnsi="Times New Roman" w:cs="Times New Roman"/>
          <w:b/>
          <w:color w:val="000000"/>
          <w:spacing w:val="0"/>
          <w:sz w:val="32"/>
          <w:szCs w:val="32"/>
          <w:lang w:eastAsia="zh-CN"/>
        </w:rPr>
        <w:t>阶段性现状验收</w:t>
      </w:r>
      <w:r>
        <w:rPr>
          <w:rFonts w:ascii="Times New Roman" w:hAnsi="Times New Roman" w:eastAsia="宋体" w:cs="Times New Roman"/>
          <w:b/>
          <w:color w:val="000000"/>
          <w:spacing w:val="0"/>
          <w:sz w:val="32"/>
          <w:szCs w:val="32"/>
        </w:rPr>
        <w:t>意见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2020年7月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日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贵州正和天筑科技有限公司</w:t>
      </w:r>
      <w:r>
        <w:rPr>
          <w:rFonts w:hint="eastAsia" w:ascii="Times New Roman" w:hAnsi="Times New Roman" w:eastAsia="仿宋" w:cs="Times New Roman"/>
          <w:sz w:val="28"/>
          <w:szCs w:val="28"/>
        </w:rPr>
        <w:t>根据</w:t>
      </w:r>
      <w:r>
        <w:rPr>
          <w:rFonts w:hint="default" w:ascii="Times New Roman" w:hAnsi="Times New Roman" w:eastAsia="仿宋" w:cs="Times New Roman"/>
          <w:sz w:val="28"/>
          <w:szCs w:val="28"/>
        </w:rPr>
        <w:t>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新型绿色建材（建筑）产业化生产基地建设项目</w:t>
      </w:r>
      <w:r>
        <w:rPr>
          <w:rFonts w:hint="default" w:ascii="Times New Roman" w:hAnsi="Times New Roman" w:eastAsia="仿宋" w:cs="Times New Roman"/>
          <w:sz w:val="28"/>
          <w:szCs w:val="28"/>
        </w:rPr>
        <w:t>竣工环境保护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验收监测报告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表</w:t>
      </w:r>
      <w:r>
        <w:rPr>
          <w:rFonts w:hint="eastAsia" w:ascii="Times New Roman" w:hAnsi="Times New Roman" w:eastAsia="仿宋" w:cs="Times New Roman"/>
          <w:sz w:val="28"/>
          <w:szCs w:val="28"/>
        </w:rPr>
        <w:t>》并对照《建设项目环境保护验收暂行办法》，依照国家有关法律法规、建设项目竣工环境保护验收技术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指南（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污染影响类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28"/>
          <w:szCs w:val="28"/>
        </w:rPr>
        <w:t>、本项目环境影响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报告表</w:t>
      </w:r>
      <w:r>
        <w:rPr>
          <w:rFonts w:hint="eastAsia" w:ascii="Times New Roman" w:hAnsi="Times New Roman" w:eastAsia="仿宋" w:cs="Times New Roman"/>
          <w:sz w:val="28"/>
          <w:szCs w:val="28"/>
        </w:rPr>
        <w:t>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贵阳市环境保护局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审批意见</w:t>
      </w:r>
      <w:r>
        <w:rPr>
          <w:rFonts w:hint="eastAsia" w:ascii="Times New Roman" w:hAnsi="Times New Roman" w:eastAsia="仿宋" w:cs="Times New Roman"/>
          <w:sz w:val="28"/>
          <w:szCs w:val="28"/>
        </w:rPr>
        <w:t>等要求对本项目进行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阶段性现状</w:t>
      </w:r>
      <w:r>
        <w:rPr>
          <w:rFonts w:hint="eastAsia" w:ascii="Times New Roman" w:hAnsi="Times New Roman" w:eastAsia="仿宋" w:cs="Times New Roman"/>
          <w:sz w:val="28"/>
          <w:szCs w:val="28"/>
        </w:rPr>
        <w:t>验收，提出意见如下：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一、工程建设基本情况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1、建设地点、规模、主要建设内容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本</w:t>
      </w:r>
      <w:r>
        <w:rPr>
          <w:rFonts w:hint="eastAsia" w:ascii="Times New Roman" w:hAnsi="Times New Roman" w:eastAsia="仿宋" w:cs="Times New Roman"/>
          <w:sz w:val="28"/>
          <w:szCs w:val="28"/>
        </w:rPr>
        <w:t>项目位于贵州省清镇市站街镇龙泉村（西南水泥厂旁）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。项目总占地66565.04m</w:t>
      </w:r>
      <w:r>
        <w:rPr>
          <w:rFonts w:hint="eastAsia" w:ascii="Times New Roman" w:hAnsi="Times New Roman" w:eastAsia="仿宋" w:cs="Times New Roman"/>
          <w:sz w:val="28"/>
          <w:szCs w:val="28"/>
          <w:vertAlign w:val="superscript"/>
          <w:lang w:eastAsia="zh-CN"/>
        </w:rPr>
        <w:t>2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，项目已建成120万吨干混砂浆生产线（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3D打印建筑生产线、160万立方米装配式建筑生产线未建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）。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主要建设内容为1#生产车间、5#研发楼、6#研发楼（综合楼）、公用工程、环保工程等。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2、建设过程及环保审批情况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201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，贵州省化工研究院</w:t>
      </w:r>
      <w:r>
        <w:rPr>
          <w:rFonts w:hint="eastAsia" w:ascii="Times New Roman" w:hAnsi="Times New Roman" w:eastAsia="仿宋" w:cs="Times New Roman"/>
          <w:sz w:val="28"/>
          <w:szCs w:val="28"/>
        </w:rPr>
        <w:t>编制完成《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新型绿色建材（建筑）产业化生产基地建设项目</w:t>
      </w:r>
      <w:r>
        <w:rPr>
          <w:rFonts w:hint="eastAsia" w:ascii="Times New Roman" w:hAnsi="Times New Roman" w:eastAsia="仿宋" w:cs="Times New Roman"/>
          <w:sz w:val="28"/>
          <w:szCs w:val="28"/>
        </w:rPr>
        <w:t>环境影响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报告表</w:t>
      </w:r>
      <w:r>
        <w:rPr>
          <w:rFonts w:hint="eastAsia" w:ascii="Times New Roman" w:hAnsi="Times New Roman" w:eastAsia="仿宋" w:cs="Times New Roman"/>
          <w:sz w:val="28"/>
          <w:szCs w:val="28"/>
        </w:rPr>
        <w:t>》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28"/>
          <w:szCs w:val="28"/>
        </w:rPr>
        <w:t>201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" w:cs="Times New Roman"/>
          <w:sz w:val="28"/>
          <w:szCs w:val="28"/>
        </w:rPr>
        <w:t>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，贵阳市环境保护局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以筑环表[2017]144号文</w:t>
      </w:r>
      <w:r>
        <w:rPr>
          <w:rFonts w:hint="eastAsia" w:ascii="Times New Roman" w:hAnsi="Times New Roman" w:eastAsia="仿宋" w:cs="Times New Roman"/>
          <w:sz w:val="28"/>
          <w:szCs w:val="28"/>
        </w:rPr>
        <w:t>对该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报告表</w:t>
      </w:r>
      <w:r>
        <w:rPr>
          <w:rFonts w:hint="eastAsia" w:ascii="Times New Roman" w:hAnsi="Times New Roman" w:eastAsia="仿宋" w:cs="Times New Roman"/>
          <w:sz w:val="28"/>
          <w:szCs w:val="28"/>
        </w:rPr>
        <w:t>予以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审批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项目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于</w:t>
      </w:r>
      <w:r>
        <w:rPr>
          <w:rFonts w:hint="eastAsia" w:ascii="Times New Roman" w:hAnsi="Times New Roman" w:eastAsia="仿宋" w:cs="Times New Roman"/>
          <w:sz w:val="28"/>
          <w:szCs w:val="28"/>
        </w:rPr>
        <w:t>2019年1月开工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建设，目前已建成120万吨干混砂浆生产线，3D打印建筑生产线、160万立方米装配式建筑生产线未建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3、投资情况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本项目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已建部分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投资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8000万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元，其中环保投资约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384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万元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4、验收范围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新型绿色建材（建筑）产业化生产基地建设项目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中</w:t>
      </w:r>
      <w:r>
        <w:rPr>
          <w:rFonts w:hint="eastAsia" w:ascii="Times New Roman" w:hAnsi="Times New Roman" w:eastAsia="仿宋" w:cs="Times New Roman"/>
          <w:sz w:val="28"/>
          <w:szCs w:val="28"/>
        </w:rPr>
        <w:t>120万吨干混砂浆生产线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与该建设项目有关的各项环保设施。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>二、工程变动情况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项目建设单位由“贵州正和加气混凝土有限公司”变更为“贵州正和天筑科技有限公司”。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项目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已建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120万吨干混砂浆生产线部分未使用三筒烘干机烘干，无烘干工序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28"/>
          <w:szCs w:val="28"/>
        </w:rPr>
        <w:t>烘干设备</w:t>
      </w: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待建）。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28"/>
          <w:szCs w:val="28"/>
          <w:lang w:eastAsia="zh-CN"/>
        </w:rPr>
        <w:t>以上变动对环境影响不大。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>三、环保设施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及措施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本项目制砂机冷却用水均为循环用水，但定期需要强制排水，其产生的强制排水排入沉淀池，与生产车间产生的地坪冲洗废水在沉淀池中沉淀后回用于地坪冲洗，生产废水不外排。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生活污水经化粪池处理后排入市政污水管网，最后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进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站街镇污水处理厂处理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。食堂废水经隔油池隔油后排入化粪池。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2、废气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破碎机及制砂机分别设集气罩将粉尘收集后一起进入制砂楼除尘器。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球磨机和筛分机上分别设集气罩+除尘器。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干砂提升机系统设集气罩+除尘器。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干砂皮带卸料位置设集气罩+除尘器。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混合机上方设集气罩+混合机袋式除尘器。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筒装原料仓入仓及出仓的位置分别安装集气罩+布袋除尘器。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成品包装过程设集气罩+除尘器。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成品库各产尘位置均设集气罩+布袋除尘器。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以上除尘器除尘后尾气在厂区内自然沉降。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食堂油烟经油烟净化装置处理后经食堂楼顶排放。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生产设备设置在厂房内，墙体和门窗使用吸声、隔声材料处理。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选用低噪声设备。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设备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减振。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4、固体废物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生活垃圾集中收集后送附近垃圾中转站。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不合格砂粉返回制砂机进行二次制砂处理。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不合格粉料返回球磨机进行磨粉处理。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布袋除尘器收尘储存在石膏仓作为原料使用。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包装机布袋除尘器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收尘储存在成品仓作为产品使用。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废机油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等危险废物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暂存于危废暂存间，交有资质单位处置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已编制贵州正和天筑科技有限公司突发环境事件应急预案。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  <w:t>四、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环保设施调试效果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根据贵州伍洲同创检测科技有限公司2020年5月8日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至2020年5月9日、2020年6月15日至2020年6月16日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现场监测结果：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1、生产工况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本项目验收监测期间，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生产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量达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负荷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76%以上，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环保设施运行正常，满足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验收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监测要求。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2、废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化粪池排放口pH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悬浮物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五日生化需氧量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化学需氧量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动植物油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等监测结果满足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《污水综合排放标准》（GB8978-1996）表4三级标准要求。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废气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食堂油烟净化器排口油烟浓度监测结果满足《饮食业油烟排放标准》（试行）（GB18483-2001）表2小型规模标准限值要求。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无组织排放颗粒物浓度监测结果符合《水泥工业大气污染物排放标准》（GB4915-2013）表3大气污染物无组织排放限值要求。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厂界各监测点昼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夜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间噪声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监测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值均符合《工业企业厂界环境噪声排放标准》（GB12348-2008）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类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区排放限值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五、工程建设对环境的影响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项目已建120万吨干混砂浆生产线部分排放的废气、噪声符合国家有关环保标准限值要求，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废水、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固体废物处理符合相关要求，对环境影响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不大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六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、验收结论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项目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环保审批手续齐全，项目已建120万吨干混砂浆生产线部分环保设施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基本满足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其相应主体工程需要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总体满足环评及批复要求，基本符合竣工环保验收条件，项目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阶段性现状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28"/>
        </w:rPr>
        <w:t>、后续要求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</w:rPr>
        <w:t>1、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按相关要求完善风险防控应急措施（设施）、突发环境事件应急预案等，</w:t>
      </w:r>
      <w:r>
        <w:rPr>
          <w:rFonts w:hint="eastAsia" w:ascii="Times New Roman" w:hAnsi="Times New Roman" w:eastAsia="仿宋" w:cs="Times New Roman"/>
          <w:sz w:val="28"/>
          <w:szCs w:val="28"/>
        </w:rPr>
        <w:t>提高应对突发环境风险事件的能力。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项目目前为阶段性现状验收，项目后期实施过程中应严格按照环评及批复要求落实相关环保设施，若发生变更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须按相关管理要求报备。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按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建设项目竣工环境保护验收技术指南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污染影响类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）完善验收监测报告表，规范文本。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4、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加强项目环保管理工作，完善环境保护管理规章制度。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加强环保设施的运行管理和日常维护，确保污染物长期稳定达标排放。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加强危险废物管理，</w:t>
      </w:r>
      <w:r>
        <w:rPr>
          <w:rFonts w:ascii="Times New Roman" w:hAnsi="Times New Roman" w:eastAsia="仿宋" w:cs="Times New Roman"/>
          <w:sz w:val="28"/>
          <w:szCs w:val="28"/>
        </w:rPr>
        <w:t>建立健全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相应管理</w:t>
      </w:r>
      <w:r>
        <w:rPr>
          <w:rFonts w:ascii="Times New Roman" w:hAnsi="Times New Roman" w:eastAsia="仿宋" w:cs="Times New Roman"/>
          <w:sz w:val="28"/>
          <w:szCs w:val="28"/>
        </w:rPr>
        <w:t>制度和管理档案</w:t>
      </w:r>
      <w:r>
        <w:rPr>
          <w:rFonts w:hint="eastAsia" w:ascii="Times New Roman" w:hAnsi="Times New Roman" w:eastAsia="仿宋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eastAsia="zh-CN"/>
        </w:rPr>
        <w:t>八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、验收人员信息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参加验收的单位及人员信息见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验收签到表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 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200" w:firstLineChars="1500"/>
        <w:textAlignment w:val="auto"/>
        <w:rPr>
          <w:rFonts w:ascii="Times New Roman" w:hAnsi="Times New Roman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贵州正和天筑科技有限公司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" w:cs="Times New Roman"/>
          <w:kern w:val="0"/>
          <w:sz w:val="28"/>
          <w:szCs w:val="28"/>
        </w:rPr>
        <w:t xml:space="preserve">                                 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2020年7月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454EF"/>
    <w:rsid w:val="095A753F"/>
    <w:rsid w:val="09E53528"/>
    <w:rsid w:val="0CAD63D5"/>
    <w:rsid w:val="12905280"/>
    <w:rsid w:val="166A6360"/>
    <w:rsid w:val="1AE541D3"/>
    <w:rsid w:val="25690D83"/>
    <w:rsid w:val="2C3D41A5"/>
    <w:rsid w:val="2D073A88"/>
    <w:rsid w:val="2DDF4BB1"/>
    <w:rsid w:val="35270E6F"/>
    <w:rsid w:val="45E87991"/>
    <w:rsid w:val="49690BF6"/>
    <w:rsid w:val="4BFA5FCC"/>
    <w:rsid w:val="4E225234"/>
    <w:rsid w:val="5BCC402F"/>
    <w:rsid w:val="5C1724A8"/>
    <w:rsid w:val="62B12DC7"/>
    <w:rsid w:val="66525C36"/>
    <w:rsid w:val="6BDA5619"/>
    <w:rsid w:val="6C1D0D46"/>
    <w:rsid w:val="6FB469D5"/>
    <w:rsid w:val="6FCE2286"/>
    <w:rsid w:val="71AA5A65"/>
    <w:rsid w:val="73695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link w:val="22"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paragraph" w:styleId="11">
    <w:name w:val="Body Text First Indent"/>
    <w:basedOn w:val="4"/>
    <w:link w:val="2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0"/>
    </w:rPr>
  </w:style>
  <w:style w:type="paragraph" w:customStyle="1" w:styleId="14">
    <w:name w:val="文本样式"/>
    <w:basedOn w:val="1"/>
    <w:qFormat/>
    <w:uiPriority w:val="99"/>
    <w:pPr>
      <w:spacing w:line="360" w:lineRule="auto"/>
      <w:ind w:firstLine="200" w:firstLineChars="200"/>
    </w:pPr>
    <w:rPr>
      <w:sz w:val="24"/>
      <w:szCs w:val="24"/>
    </w:rPr>
  </w:style>
  <w:style w:type="character" w:customStyle="1" w:styleId="15">
    <w:name w:val="不明显强调1"/>
    <w:basedOn w:val="13"/>
    <w:qFormat/>
    <w:uiPriority w:val="19"/>
    <w:rPr>
      <w:i/>
      <w:iCs/>
      <w:color w:val="7F7F7F"/>
    </w:rPr>
  </w:style>
  <w:style w:type="character" w:customStyle="1" w:styleId="16">
    <w:name w:val="日期 Char"/>
    <w:basedOn w:val="13"/>
    <w:link w:val="6"/>
    <w:qFormat/>
    <w:uiPriority w:val="99"/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不明显强调2"/>
    <w:basedOn w:val="13"/>
    <w:qFormat/>
    <w:uiPriority w:val="19"/>
    <w:rPr>
      <w:i/>
      <w:iCs/>
      <w:color w:val="7F7F7F"/>
    </w:rPr>
  </w:style>
  <w:style w:type="character" w:customStyle="1" w:styleId="20">
    <w:name w:val="批注框文本 Char"/>
    <w:basedOn w:val="13"/>
    <w:link w:val="7"/>
    <w:qFormat/>
    <w:uiPriority w:val="99"/>
    <w:rPr>
      <w:kern w:val="2"/>
      <w:sz w:val="18"/>
      <w:szCs w:val="18"/>
    </w:rPr>
  </w:style>
  <w:style w:type="paragraph" w:customStyle="1" w:styleId="21">
    <w:name w:val="样式 文本正文 + (符号) Times New Roman"/>
    <w:basedOn w:val="1"/>
    <w:qFormat/>
    <w:uiPriority w:val="0"/>
    <w:pPr>
      <w:spacing w:line="360" w:lineRule="auto"/>
      <w:ind w:firstLine="200" w:firstLineChars="200"/>
    </w:pPr>
    <w:rPr>
      <w:rFonts w:ascii="Times New Roman" w:hAnsi="宋体" w:eastAsia="宋体" w:cs="Times New Roman"/>
      <w:sz w:val="24"/>
      <w:szCs w:val="21"/>
    </w:rPr>
  </w:style>
  <w:style w:type="character" w:customStyle="1" w:styleId="22">
    <w:name w:val="正文文本 Char"/>
    <w:basedOn w:val="13"/>
    <w:link w:val="4"/>
    <w:qFormat/>
    <w:uiPriority w:val="99"/>
    <w:rPr>
      <w:kern w:val="2"/>
      <w:sz w:val="21"/>
      <w:szCs w:val="22"/>
    </w:rPr>
  </w:style>
  <w:style w:type="character" w:customStyle="1" w:styleId="23">
    <w:name w:val="正文首行缩进 Char"/>
    <w:basedOn w:val="22"/>
    <w:link w:val="1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24">
    <w:name w:val="表格内容 Char Char"/>
    <w:link w:val="25"/>
    <w:qFormat/>
    <w:uiPriority w:val="0"/>
    <w:rPr>
      <w:rFonts w:ascii="宋体" w:hAnsi="宋体" w:eastAsia="宋体" w:cs="宋体"/>
      <w:iCs/>
      <w:kern w:val="2"/>
      <w:sz w:val="21"/>
      <w:szCs w:val="24"/>
    </w:rPr>
  </w:style>
  <w:style w:type="paragraph" w:customStyle="1" w:styleId="25">
    <w:name w:val="表格内容"/>
    <w:basedOn w:val="1"/>
    <w:link w:val="24"/>
    <w:qFormat/>
    <w:uiPriority w:val="0"/>
    <w:pPr>
      <w:spacing w:line="340" w:lineRule="exact"/>
      <w:jc w:val="center"/>
    </w:pPr>
    <w:rPr>
      <w:rFonts w:ascii="宋体" w:hAnsi="宋体" w:eastAsia="宋体" w:cs="宋体"/>
      <w:iCs/>
      <w:szCs w:val="24"/>
    </w:rPr>
  </w:style>
  <w:style w:type="paragraph" w:customStyle="1" w:styleId="26">
    <w:name w:val="表格文字2"/>
    <w:basedOn w:val="1"/>
    <w:qFormat/>
    <w:uiPriority w:val="0"/>
    <w:pPr>
      <w:tabs>
        <w:tab w:val="left" w:pos="277"/>
        <w:tab w:val="left" w:pos="600"/>
        <w:tab w:val="left" w:pos="780"/>
        <w:tab w:val="left" w:pos="2517"/>
      </w:tabs>
      <w:adjustRightInd w:val="0"/>
      <w:spacing w:before="60"/>
    </w:pPr>
    <w:rPr>
      <w:rFonts w:ascii="Times New Roman" w:hAnsi="Times New Roman" w:eastAsia="宋体" w:cs="Times New Roman"/>
      <w:kern w:val="0"/>
      <w:szCs w:val="20"/>
    </w:rPr>
  </w:style>
  <w:style w:type="character" w:customStyle="1" w:styleId="27">
    <w:name w:val="4正文 Char Char"/>
    <w:link w:val="28"/>
    <w:qFormat/>
    <w:uiPriority w:val="0"/>
    <w:rPr>
      <w:rFonts w:ascii="宋体" w:hAnsi="宋体" w:eastAsia="宋体" w:cs="宋体"/>
      <w:kern w:val="2"/>
      <w:sz w:val="24"/>
    </w:rPr>
  </w:style>
  <w:style w:type="paragraph" w:customStyle="1" w:styleId="28">
    <w:name w:val="4正文"/>
    <w:basedOn w:val="1"/>
    <w:link w:val="27"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sz w:val="24"/>
      <w:szCs w:val="20"/>
    </w:rPr>
  </w:style>
  <w:style w:type="paragraph" w:customStyle="1" w:styleId="29">
    <w:name w:val="1正文段落"/>
    <w:basedOn w:val="1"/>
    <w:qFormat/>
    <w:uiPriority w:val="0"/>
    <w:pPr>
      <w:snapToGrid w:val="0"/>
      <w:spacing w:line="360" w:lineRule="auto"/>
      <w:ind w:firstLine="48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3082</Words>
  <Characters>3392</Characters>
  <Paragraphs>86</Paragraphs>
  <TotalTime>5</TotalTime>
  <ScaleCrop>false</ScaleCrop>
  <LinksUpToDate>false</LinksUpToDate>
  <CharactersWithSpaces>3459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2018-02-28T14:33:00Z</dcterms:created>
  <dc:creator>fxy</dc:creator>
  <cp:lastModifiedBy>55</cp:lastModifiedBy>
  <dcterms:modified xsi:type="dcterms:W3CDTF">2020-07-22T02:03:44Z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