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after="0" w:line="580" w:lineRule="exact"/>
        <w:jc w:val="center"/>
        <w:textAlignment w:val="auto"/>
        <w:rPr>
          <w:rFonts w:ascii="宋体" w:hAnsi="Calibri" w:eastAsia="宋体"/>
          <w:b/>
          <w:sz w:val="32"/>
          <w:szCs w:val="21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eastAsia="zh-CN"/>
        </w:rPr>
        <w:t>余庆县飞水岩发电站建设项目</w:t>
      </w:r>
      <w:r>
        <w:rPr>
          <w:rFonts w:hint="eastAsia" w:ascii="宋体" w:hAnsi="Calibri" w:eastAsia="宋体"/>
          <w:b/>
          <w:sz w:val="32"/>
          <w:szCs w:val="32"/>
        </w:rPr>
        <w:t>竣工环</w:t>
      </w:r>
      <w:r>
        <w:rPr>
          <w:rFonts w:hint="eastAsia" w:ascii="宋体" w:hAnsi="Calibri" w:eastAsia="宋体"/>
          <w:b/>
          <w:sz w:val="32"/>
          <w:szCs w:val="21"/>
        </w:rPr>
        <w:t>境保护验收意见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left="0" w:leftChars="0"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2020年6月29日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余庆县飞水岩发电站</w:t>
      </w:r>
      <w:r>
        <w:rPr>
          <w:rFonts w:hint="eastAsia" w:ascii="Times New Roman" w:hAnsi="Times New Roman" w:eastAsia="仿宋" w:cs="Times New Roman"/>
          <w:sz w:val="28"/>
          <w:szCs w:val="28"/>
        </w:rPr>
        <w:t>根据</w:t>
      </w:r>
      <w:r>
        <w:rPr>
          <w:rFonts w:hint="default" w:ascii="Times New Roman" w:hAnsi="Times New Roman" w:eastAsia="仿宋" w:cs="Times New Roman"/>
          <w:sz w:val="28"/>
          <w:szCs w:val="28"/>
        </w:rPr>
        <w:t>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余庆县飞水岩发电站建设项目竣工环境保护验收调查表</w:t>
      </w:r>
      <w:r>
        <w:rPr>
          <w:rFonts w:hint="eastAsia" w:ascii="Times New Roman" w:hAnsi="Times New Roman" w:eastAsia="仿宋" w:cs="Times New Roman"/>
          <w:sz w:val="28"/>
          <w:szCs w:val="28"/>
        </w:rPr>
        <w:t>》，依照国家有关法律法规、建设项目竣工环境保护验收技术规范、本项目环境影响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报告表</w:t>
      </w:r>
      <w:r>
        <w:rPr>
          <w:rFonts w:hint="eastAsia" w:ascii="Times New Roman" w:hAnsi="Times New Roman" w:eastAsia="仿宋" w:cs="Times New Roman"/>
          <w:sz w:val="28"/>
          <w:szCs w:val="28"/>
        </w:rPr>
        <w:t>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余庆县环境保护局对环境影响报告表的批复</w:t>
      </w:r>
      <w:r>
        <w:rPr>
          <w:rFonts w:hint="eastAsia" w:ascii="Times New Roman" w:hAnsi="Times New Roman" w:eastAsia="仿宋" w:cs="Times New Roman"/>
          <w:sz w:val="28"/>
          <w:szCs w:val="28"/>
        </w:rPr>
        <w:t>等要求对本项目进行验收，提出意见如下：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一、工程建设基本情况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1、建设地点、规模、主要建设内容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本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项目位于贵州省余庆县龙溪镇苏羊村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。工程占地约2000m</w:t>
      </w:r>
      <w:r>
        <w:rPr>
          <w:rFonts w:hint="eastAsia" w:ascii="Times New Roman" w:hAnsi="Times New Roman" w:eastAsia="仿宋" w:cs="Times New Roman"/>
          <w:sz w:val="28"/>
          <w:szCs w:val="28"/>
          <w:vertAlign w:val="superscript"/>
          <w:lang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，发电站装机容量1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×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125KW，年发电量约61.2万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k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W·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h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。电站是一座坝后式水电站。主要建设内容为拦河坝、引水渠道、压力钢管、发电厂房、通气管、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公用工程、环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保工程等。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2、建设过程及环保审批情况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2011年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，深圳鹏达信环保科技有限公司</w:t>
      </w:r>
      <w:r>
        <w:rPr>
          <w:rFonts w:hint="eastAsia" w:ascii="Times New Roman" w:hAnsi="Times New Roman" w:eastAsia="仿宋" w:cs="Times New Roman"/>
          <w:sz w:val="28"/>
          <w:szCs w:val="28"/>
        </w:rPr>
        <w:t>编制完成《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余庆县飞水岩发电站建设项目环境影响报告表</w:t>
      </w:r>
      <w:r>
        <w:rPr>
          <w:rFonts w:hint="eastAsia" w:ascii="Times New Roman" w:hAnsi="Times New Roman" w:eastAsia="仿宋" w:cs="Times New Roman"/>
          <w:sz w:val="28"/>
          <w:szCs w:val="28"/>
        </w:rPr>
        <w:t>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</w:rPr>
        <w:t>月29日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，余庆县环境保护局以余环复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[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2011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]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07号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文</w:t>
      </w:r>
      <w:r>
        <w:rPr>
          <w:rFonts w:hint="eastAsia" w:ascii="Times New Roman" w:hAnsi="Times New Roman" w:eastAsia="仿宋" w:cs="Times New Roman"/>
          <w:sz w:val="28"/>
          <w:szCs w:val="28"/>
        </w:rPr>
        <w:t>对该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报告表</w:t>
      </w:r>
      <w:r>
        <w:rPr>
          <w:rFonts w:hint="eastAsia" w:ascii="Times New Roman" w:hAnsi="Times New Roman" w:eastAsia="仿宋" w:cs="Times New Roman"/>
          <w:sz w:val="28"/>
          <w:szCs w:val="28"/>
        </w:rPr>
        <w:t>予以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批复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项目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于2011年4月开工建设，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已建成投入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运行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3、投资情况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本项目总投资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150万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元，其中环保投资约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万元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4、验收范围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与该建设项目有关的各项环保设施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措施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二、工程变动情况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1、年平均发电量由“54万kW·h”变更为“61.2万kW·h”，装机容量未变。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2、取消生活用火炉。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3、生活污水由“采用氧化塘处理工艺处理”变更为“修建旱厕”。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4、生活垃圾由“在适宜的地方修建垃圾处理场，进行填埋处理”变更为“收集于垃圾桶，收集满后定期送由环卫部门处理”。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/>
        </w:rPr>
        <w:t>以上变动对环境影响不大。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>三、环保设施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及措施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生态保护工程和设施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加强生态环境保护工作，落实主体工程区、弃渣场、采料场、施工道路、施工企业及生活营地等区域的水土保持措施。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采用适当的生物措施进行工程影响区的植被恢复。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废水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生活使用旱厕。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噪声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选用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噪声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设备减振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建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专用机房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固体废物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生活垃圾收集于垃圾桶，收集满后定期送环卫部门处理。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80" w:lineRule="exact"/>
        <w:ind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环境保护设施调试运行效果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</w:rPr>
        <w:t>工况记录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lang w:eastAsia="zh-CN"/>
        </w:rPr>
        <w:t>验收调查期间，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</w:rPr>
        <w:t>项目运行稳定，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发电量达负荷的92%，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</w:rPr>
        <w:t>达到竣工环保验收调查工作条件。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2、生态保护工程和设施实施运行效果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根据《余庆县飞水岩发电站建设项目竣工环境保护验收调查表》结论：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建设单位基本落实了环评及批复文件中要求的相关生态保护措施，与项目建成前相比，当地植被、植物、动物数量和种类未出现较大波动，项目建设对生态环境影响不大。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3、污染防治和处置设施处理效果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根据贵州伍洲同创检测科技有限公司2020年5月6日至2020年5月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日现场监测结果：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厂界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噪声监测点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昼、夜间噪声监测值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符合《工业企业厂界环境噪声排放标准》（GB12348-2008）2类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区排放限值要求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、工程建设对环境的影响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贵州伍洲同创检测科技有限公司2020年6月4日至2020年6月5日现场监测结果：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地表水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坝区上游500m、坝区、坝区下游500m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断面pH、氨氮、石油类、化学需氧量、五日生化需氧量、溶解氧、总氮、总磷、粪大肠菌群等监测结果均满足《地表水环境质量标准》（GB3838-2002）表1Ⅲ类标准要求。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地下水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2个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地下水涌出点pH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色度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氯化物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硫酸盐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溶解性总固体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总硬度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耗氧量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挥发酚类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总大肠菌群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菌落总数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亚硝酸盐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硝酸盐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等监测结果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满足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《地下水质量标准》（GB/T14848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2017）Ⅲ类水质标准要求。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项目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废水、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废气、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噪声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固体废物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处理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符合国家有关环保要求，对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空气环境、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水环境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声环境、生态环境等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影响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不大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、验收结论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项目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环保审批手续齐全，总体满足环评及批复要求，基本符合竣工环保验收条件，项目自主验收合格。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、后续要求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按《建设项目竣工环境保护验收技术规范 生态影响类》（HJ/T394-2007）相关要求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完善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验收调查表，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规范文本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2、按相关要求完善风险防控应急措施（设施）、突发环境事件应急预案等。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560" w:firstLineChars="200"/>
        <w:textAlignment w:val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3、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加强项目环保管理工作，完善环境保护管理规章制度。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4、场区产生的危险废物按相关要求加强管理，建立健全相应管理制度和管理档案。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5、完善档案管理及生态保护措施。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6、按相关要求开展环境影响后评价。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80" w:lineRule="exact"/>
        <w:ind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、验收人员信息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参加验收的单位及人员信息见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验收签到表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ind w:firstLine="4760" w:firstLineChars="1700"/>
        <w:textAlignment w:val="auto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余庆县飞水岩发电站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80" w:lineRule="exact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                             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2020年6月29日</w:t>
      </w:r>
    </w:p>
    <w:sectPr>
      <w:pgSz w:w="11906" w:h="16838"/>
      <w:pgMar w:top="1440" w:right="1800" w:bottom="1440" w:left="1800" w:header="708" w:footer="708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A5"/>
    <w:rsid w:val="00055BA5"/>
    <w:rsid w:val="003950C9"/>
    <w:rsid w:val="008D4CAD"/>
    <w:rsid w:val="00C81D6B"/>
    <w:rsid w:val="00C90B42"/>
    <w:rsid w:val="00C94409"/>
    <w:rsid w:val="01A84684"/>
    <w:rsid w:val="01F61846"/>
    <w:rsid w:val="02623D5E"/>
    <w:rsid w:val="02744DFC"/>
    <w:rsid w:val="03381F7B"/>
    <w:rsid w:val="086735DA"/>
    <w:rsid w:val="08854072"/>
    <w:rsid w:val="0BA53C84"/>
    <w:rsid w:val="110E6245"/>
    <w:rsid w:val="16717BFA"/>
    <w:rsid w:val="16A51E7D"/>
    <w:rsid w:val="1AEF52BE"/>
    <w:rsid w:val="1E745FF2"/>
    <w:rsid w:val="1E783FBD"/>
    <w:rsid w:val="1EDC1D5D"/>
    <w:rsid w:val="1F7E5AC9"/>
    <w:rsid w:val="24CE2459"/>
    <w:rsid w:val="265C3F9F"/>
    <w:rsid w:val="274B621F"/>
    <w:rsid w:val="288F0301"/>
    <w:rsid w:val="298032A4"/>
    <w:rsid w:val="2AFA22F6"/>
    <w:rsid w:val="300B7924"/>
    <w:rsid w:val="37BB65BD"/>
    <w:rsid w:val="43046BF0"/>
    <w:rsid w:val="443E342C"/>
    <w:rsid w:val="44984484"/>
    <w:rsid w:val="45546FF9"/>
    <w:rsid w:val="48A3395C"/>
    <w:rsid w:val="49337C40"/>
    <w:rsid w:val="49903D55"/>
    <w:rsid w:val="4F831A5D"/>
    <w:rsid w:val="4FD30376"/>
    <w:rsid w:val="51932B96"/>
    <w:rsid w:val="53645683"/>
    <w:rsid w:val="54D336DD"/>
    <w:rsid w:val="57963D2D"/>
    <w:rsid w:val="57E705BA"/>
    <w:rsid w:val="5A9311DF"/>
    <w:rsid w:val="5B381F7A"/>
    <w:rsid w:val="5B927F8C"/>
    <w:rsid w:val="5C416E74"/>
    <w:rsid w:val="5CBE0036"/>
    <w:rsid w:val="5DDE0A1A"/>
    <w:rsid w:val="606D7F94"/>
    <w:rsid w:val="61520B73"/>
    <w:rsid w:val="68171DCD"/>
    <w:rsid w:val="6A7B3028"/>
    <w:rsid w:val="6B8345C9"/>
    <w:rsid w:val="6BD67613"/>
    <w:rsid w:val="6D0756E3"/>
    <w:rsid w:val="6FE97291"/>
    <w:rsid w:val="719D4FAA"/>
    <w:rsid w:val="73AC46EC"/>
    <w:rsid w:val="746678C6"/>
    <w:rsid w:val="75986DE4"/>
    <w:rsid w:val="761A2EC9"/>
    <w:rsid w:val="76443517"/>
    <w:rsid w:val="76FC4DBB"/>
    <w:rsid w:val="775216DB"/>
    <w:rsid w:val="790D254A"/>
    <w:rsid w:val="7ACD2C56"/>
    <w:rsid w:val="7D2047A9"/>
    <w:rsid w:val="7E4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Document Map"/>
    <w:basedOn w:val="1"/>
    <w:link w:val="12"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文档结构图 字符"/>
    <w:basedOn w:val="9"/>
    <w:link w:val="3"/>
    <w:qFormat/>
    <w:uiPriority w:val="99"/>
    <w:rPr>
      <w:rFonts w:ascii="宋体" w:hAnsi="Tahoma" w:eastAsia="宋体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paragraph" w:customStyle="1" w:styleId="15">
    <w:name w:val="表格002"/>
    <w:basedOn w:val="1"/>
    <w:qFormat/>
    <w:uiPriority w:val="0"/>
    <w:pPr>
      <w:spacing w:line="360" w:lineRule="auto"/>
      <w:jc w:val="center"/>
    </w:pPr>
    <w:rPr>
      <w:rFonts w:eastAsia="宋体"/>
      <w:sz w:val="24"/>
    </w:rPr>
  </w:style>
  <w:style w:type="paragraph" w:customStyle="1" w:styleId="16">
    <w:name w:val="文本样式"/>
    <w:basedOn w:val="1"/>
    <w:qFormat/>
    <w:uiPriority w:val="99"/>
    <w:pPr>
      <w:spacing w:line="360" w:lineRule="auto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915</Words>
  <Characters>5216</Characters>
  <Lines>43</Lines>
  <Paragraphs>12</Paragraphs>
  <TotalTime>63</TotalTime>
  <ScaleCrop>false</ScaleCrop>
  <LinksUpToDate>false</LinksUpToDate>
  <CharactersWithSpaces>6119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2019-02-25T12:07:00Z</dcterms:created>
  <dc:creator>Administrator</dc:creator>
  <cp:lastModifiedBy>huaw</cp:lastModifiedBy>
  <dcterms:modified xsi:type="dcterms:W3CDTF">2020-06-25T01:31:08Z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